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D" w:rsidRDefault="00DD017F" w:rsidP="005A78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</w:t>
      </w:r>
      <w:r w:rsidR="0027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616.517</w:t>
      </w:r>
      <w:r w:rsidR="00275F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:616.839]–085.217.2.2/.3</w:t>
      </w:r>
    </w:p>
    <w:p w:rsidR="00F87073" w:rsidRPr="0049155F" w:rsidRDefault="0094157E" w:rsidP="005A7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55F">
        <w:rPr>
          <w:rFonts w:ascii="Times New Roman" w:hAnsi="Times New Roman" w:cs="Times New Roman"/>
          <w:b/>
          <w:sz w:val="24"/>
          <w:szCs w:val="24"/>
        </w:rPr>
        <w:t xml:space="preserve">Комплексный подход медикаментозной коррекции нарушений состояния </w:t>
      </w:r>
      <w:proofErr w:type="spellStart"/>
      <w:r w:rsidRPr="0049155F">
        <w:rPr>
          <w:rFonts w:ascii="Times New Roman" w:hAnsi="Times New Roman" w:cs="Times New Roman"/>
          <w:b/>
          <w:sz w:val="24"/>
          <w:szCs w:val="24"/>
        </w:rPr>
        <w:t>эрг</w:t>
      </w:r>
      <w:proofErr w:type="gramStart"/>
      <w:r w:rsidRPr="0049155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49155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915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9155F">
        <w:rPr>
          <w:rFonts w:ascii="Times New Roman" w:hAnsi="Times New Roman" w:cs="Times New Roman"/>
          <w:b/>
          <w:sz w:val="24"/>
          <w:szCs w:val="24"/>
        </w:rPr>
        <w:t>трофотропной</w:t>
      </w:r>
      <w:proofErr w:type="spellEnd"/>
      <w:r w:rsidRPr="0049155F">
        <w:rPr>
          <w:rFonts w:ascii="Times New Roman" w:hAnsi="Times New Roman" w:cs="Times New Roman"/>
          <w:b/>
          <w:sz w:val="24"/>
          <w:szCs w:val="24"/>
        </w:rPr>
        <w:t xml:space="preserve"> систем при псориазе</w:t>
      </w:r>
    </w:p>
    <w:p w:rsidR="00F317FF" w:rsidRPr="00201935" w:rsidRDefault="00DD017F" w:rsidP="0006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 Алла Анатольевна, Харьковский национальный медицинский университет, ассистент кафедры дерматологии, венерологии и медицинской косметологии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BC8" w:rsidRPr="006A4BC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6A4BC8" w:rsidRPr="006A4B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A4BC8" w:rsidRPr="006A4BC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01935" w:rsidRPr="00294A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beregovaya</w:t>
        </w:r>
        <w:r w:rsidR="00201935" w:rsidRPr="00294A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78@</w:t>
        </w:r>
        <w:r w:rsidR="00201935" w:rsidRPr="00294A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01935" w:rsidRPr="00294A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1935" w:rsidRPr="00294A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5220C" w:rsidRDefault="00CE3634" w:rsidP="00067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633999" w:rsidRPr="00B4417D" w:rsidRDefault="00633999" w:rsidP="00067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исследования эффективности использования</w:t>
      </w:r>
      <w:r w:rsidRPr="00AE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препаратов-корректоров состояния </w:t>
      </w:r>
      <w:proofErr w:type="spell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трофотропной</w:t>
      </w:r>
      <w:proofErr w:type="spell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F014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</w:t>
      </w:r>
      <w:proofErr w:type="spell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Кортексина</w:t>
      </w:r>
      <w:proofErr w:type="spell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стандартной схемы лечения псориаза сравнительным методом динамики изменений выявленных чувствительных показателей состояния </w:t>
      </w:r>
      <w:proofErr w:type="spell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</w:t>
      </w:r>
      <w:proofErr w:type="spell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трофотропных</w:t>
      </w:r>
      <w:proofErr w:type="spellEnd"/>
      <w:r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B44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после использования </w:t>
      </w:r>
      <w:proofErr w:type="spellStart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Метамакса</w:t>
      </w:r>
      <w:proofErr w:type="spellEnd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Кортексина</w:t>
      </w:r>
      <w:proofErr w:type="spellEnd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 с стандартной схемой лечения  больных псориазом, свидетельствуют о более выраженном улучшении состояния </w:t>
      </w:r>
      <w:proofErr w:type="spellStart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трофотропной</w:t>
      </w:r>
      <w:proofErr w:type="spellEnd"/>
      <w:r w:rsidR="00B4417D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тенденции приближения их показателей к контрольным значениям.</w:t>
      </w:r>
    </w:p>
    <w:p w:rsidR="00C549E0" w:rsidRDefault="00B5220C" w:rsidP="00067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4F5" w:rsidRPr="00F904F5">
        <w:t xml:space="preserve"> </w:t>
      </w:r>
      <w:r w:rsidR="00F904F5" w:rsidRPr="00F9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="00F904F5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псориаз,</w:t>
      </w:r>
      <w:r w:rsidR="00F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4F5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ерготропная</w:t>
      </w:r>
      <w:proofErr w:type="spellEnd"/>
      <w:r w:rsidR="00F904F5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</w:t>
      </w:r>
      <w:proofErr w:type="spellStart"/>
      <w:r w:rsidR="00F904F5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трофотропная</w:t>
      </w:r>
      <w:proofErr w:type="spellEnd"/>
      <w:r w:rsidR="00F904F5" w:rsidRPr="00F9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</w:t>
      </w:r>
      <w:r w:rsidR="000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</w:p>
    <w:p w:rsidR="003868E2" w:rsidRDefault="00514264" w:rsidP="008A54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uk-UA"/>
        </w:rPr>
        <w:t xml:space="preserve"> </w:t>
      </w:r>
      <w:r w:rsidR="00561434">
        <w:t xml:space="preserve">  </w:t>
      </w:r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>На современном этапе псориаз рассматрива</w:t>
      </w:r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 как хронический дерматоз </w:t>
      </w:r>
      <w:proofErr w:type="spellStart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>мультифакториаль</w:t>
      </w:r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softHyphen/>
        <w:t>ной</w:t>
      </w:r>
      <w:proofErr w:type="spellEnd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 xml:space="preserve"> природы с доминирующим значением в своем развитии генетических и обменных факторов, ха</w:t>
      </w:r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рактеризующийся ускорением пролиферации </w:t>
      </w:r>
      <w:proofErr w:type="spellStart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>эпи</w:t>
      </w:r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softHyphen/>
        <w:t>дермоцитов</w:t>
      </w:r>
      <w:proofErr w:type="spellEnd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 xml:space="preserve"> и нарушением их дифференцировки, иммунными реакциями в дерме, дисбалансом меж</w:t>
      </w:r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softHyphen/>
        <w:t>ду пр</w:t>
      </w:r>
      <w:proofErr w:type="gramStart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>антивоспалительными</w:t>
      </w:r>
      <w:proofErr w:type="spellEnd"/>
      <w:r w:rsidR="00561434" w:rsidRPr="00561434">
        <w:rPr>
          <w:rFonts w:ascii="Times New Roman" w:hAnsi="Times New Roman" w:cs="Times New Roman"/>
          <w:color w:val="000000"/>
          <w:sz w:val="24"/>
          <w:szCs w:val="24"/>
        </w:rPr>
        <w:t xml:space="preserve"> цитокинами</w:t>
      </w:r>
      <w:r w:rsidR="00561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434">
        <w:rPr>
          <w:color w:val="000000"/>
          <w:sz w:val="20"/>
          <w:szCs w:val="20"/>
        </w:rPr>
        <w:t xml:space="preserve"> </w:t>
      </w:r>
      <w:r w:rsidR="003868E2" w:rsidRPr="003868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терапия больных псориазом остается одной из наиболее актуальных и важных проблем в современной дерматологии</w:t>
      </w:r>
      <w:r w:rsidR="00C53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Актуальность данной проблемы подкрепляется значительной распространенностью псориаза в мире. Так, по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Federationof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Psoriasis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Associations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8E2" w:rsidRPr="0038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8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68E2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аспространенность псориаза в мире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колеблется в пределах 1,2-5% от общей популяции [14, 21].</w:t>
      </w:r>
      <w:r w:rsidR="0056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 w:rsidR="00561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6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начительная роль в патогенезе псориаза отводится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стрессорным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механизмам. У больных обнаруживаются существенные различия в способности противостоять стрессам и справляться с их последствиями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необходимость исследования роли стресса как пускового фактора псориаза [24].</w:t>
      </w:r>
    </w:p>
    <w:p w:rsidR="008F101A" w:rsidRDefault="00F317FF" w:rsidP="003868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A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полиэтиологической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псориаза на сегодня отсутствуют надежные медикаментозные методы его лечения. Последнее побуждает дерматологов к поиску комплексных подходов 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лечения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не только степени тяжести псориаза, а также ведущих патогенетических звеньев. Предыдущими нашими исследованиями установлено [2, 3, 4, 7], что прогрессирование псориаза сопровождается постепенным истощением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эрготропных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 постепенной активацией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организма. На основании проведенных исследований, о нарушениях состояния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у больных псориазом с разной степенью тяжести было предложено комплексную медикаментозную схему их коррекции. Ее смысл заключается в дополнении стандартной схемы лечения псориаза препаратами, способствующими нормализации функционирования 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адреналов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парасимпатических регуляторных механизмов обеспечения гомеостатической функции организма. К таким препаратам-корректор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r w:rsidR="007B3D46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обследованных больных псориазом с разной степенью тяжести можно отнести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Препарат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 (2,2,2-триметилгидразиний)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дигидрат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данным научных исследований, имеет широкий спектр действия, обусловленный, прежде всего, способностью к улучшению внутриклеточного </w:t>
      </w:r>
      <w:proofErr w:type="spellStart"/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нергосинтез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этиологии и локализации метаболических нарушений в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ишемизированных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тканях [9, 15, 16]. Доказано, что псориаз сопровождается каскадом биохимических реакций с высвобождением вазоактивных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провоспалительных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В частности, повышение уровня катехоламинов, способных увеличивать агрегацию тромбоцитов и вызвать стойкую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вазоконстрикцию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 к снижению микроциркуляции, нарушени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тканей, истощени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ресурсов, возникновения гипоксии и ишемии. В этих условиях существенную поддержку жизнеспособности зоны ишемии може</w:t>
      </w:r>
      <w:r w:rsidR="0054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лекарственное средство метаболического действия, повышающ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эффективное использование кислорода, переключая метаболизм на более экономный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режим, защищая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ишемизированн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от проявлений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оксидативного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повышению работоспособности и уменьшению симптомов психического перенапряжения, улучшает функционирование </w:t>
      </w:r>
      <w:proofErr w:type="spellStart"/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дреналов</w:t>
      </w:r>
      <w:r w:rsidR="00E6132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парасимпатических регуляторных механизмов [1, 11]. Возможность применения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терапевтических схемах псориаза может быть продиктована также его выразительным антиоксидантным эффектом. Доказано, что в патогенезе псориаза особое место принадлежит интенсификации процессов перекисного окисления липидов, окислительной модификации белков при снижении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антирадикальных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антиперекисн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[5, 20, 22, 23].</w:t>
      </w:r>
    </w:p>
    <w:p w:rsidR="005A78CD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низкомолекулярных пептидов, который рассматривают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корректор адаптационно-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благодаря возможности регулировать содержание серотонина, дофамина, ГАМК, соотношение между возбуждающими и тормоз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аминокислотами, оказывать антиоксидантное и противовоспалительное действие, стимулировать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репаративные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нейротрофические процессы [6, 10, 17, 18 , 19]. 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L-аминокислоты, витамины (тиамин, рибофлавин, ниацин,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альфа-токоферол) и биогенные элементы (медь, железо, кальций, магний, калий, натрий, сера, фосфор, цинк, молибден, кобальт, марганец, селен, алюминий, литий).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что положительные эффекты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не только с действием пептидов, а также с активностью витаминов и биогенных элементов [13].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новая предложенная схема лечения заключается в дополнении стандартной схемы лечения псориаза препаратами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Корте</w:t>
      </w:r>
      <w:r w:rsidR="00DD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</w:t>
      </w:r>
      <w:r w:rsidR="00FA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нормализации функционирования симпато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адреналов</w:t>
      </w:r>
      <w:r w:rsidR="003565EB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парасимпатических регуляторных механизмов обеспечения гомеостатической функции организма.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A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A6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101A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исследования по эффективности использования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Метомакс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</w:t>
      </w:r>
      <w:r w:rsidR="0062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стандартной схемы лечения псориаза у больных с легкой степенью течения болезни сравнительным методом с динамикой изменений выявленных </w:t>
      </w:r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увствительных показателей состояния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- гистидин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7B0" w:rsidRPr="00A62597">
        <w:rPr>
          <w:rStyle w:val="shorttext"/>
          <w:sz w:val="24"/>
          <w:szCs w:val="24"/>
        </w:rPr>
        <w:t xml:space="preserve"> </w:t>
      </w:r>
      <w:r w:rsidR="00EB67B0" w:rsidRPr="00A62597">
        <w:rPr>
          <w:rStyle w:val="shorttext"/>
          <w:rFonts w:ascii="Times New Roman" w:hAnsi="Times New Roman" w:cs="Times New Roman"/>
          <w:sz w:val="24"/>
          <w:szCs w:val="24"/>
        </w:rPr>
        <w:t>5-оксииндолуксусн</w:t>
      </w:r>
      <w:r w:rsidR="008F101A">
        <w:rPr>
          <w:rStyle w:val="shorttext"/>
          <w:rFonts w:ascii="Times New Roman" w:hAnsi="Times New Roman" w:cs="Times New Roman"/>
          <w:sz w:val="24"/>
          <w:szCs w:val="24"/>
        </w:rPr>
        <w:t>ой</w:t>
      </w:r>
      <w:r w:rsidR="00EB67B0" w:rsidRPr="00A62597">
        <w:rPr>
          <w:rStyle w:val="shorttext"/>
          <w:rFonts w:ascii="Times New Roman" w:hAnsi="Times New Roman" w:cs="Times New Roman"/>
          <w:sz w:val="24"/>
          <w:szCs w:val="24"/>
        </w:rPr>
        <w:t xml:space="preserve"> кислот</w:t>
      </w:r>
      <w:r w:rsidR="008F101A">
        <w:rPr>
          <w:rStyle w:val="shorttext"/>
          <w:rFonts w:ascii="Times New Roman" w:hAnsi="Times New Roman" w:cs="Times New Roman"/>
          <w:sz w:val="24"/>
          <w:szCs w:val="24"/>
        </w:rPr>
        <w:t>ы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5-ОИ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норадреналин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(НА), адреналин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(А), общи</w:t>
      </w:r>
      <w:r w:rsidR="008C22CD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гексоз,</w:t>
      </w:r>
      <w:r w:rsidR="008F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7B0" w:rsidRPr="00A62597">
        <w:rPr>
          <w:rStyle w:val="shorttext"/>
          <w:rFonts w:ascii="Times New Roman" w:hAnsi="Times New Roman" w:cs="Times New Roman"/>
          <w:sz w:val="24"/>
          <w:szCs w:val="24"/>
        </w:rPr>
        <w:t>17-оксикортикостероидов</w:t>
      </w:r>
      <w:r w:rsidR="008F101A">
        <w:rPr>
          <w:rStyle w:val="shorttext"/>
          <w:rFonts w:ascii="Times New Roman" w:hAnsi="Times New Roman" w:cs="Times New Roman"/>
          <w:sz w:val="24"/>
          <w:szCs w:val="24"/>
        </w:rPr>
        <w:t xml:space="preserve"> (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17-ОКС</w:t>
      </w:r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7FF" w:rsidRPr="00A62597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CD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6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методы исследования.</w:t>
      </w:r>
    </w:p>
    <w:p w:rsidR="008F101A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Обследовано 35 больных с легкой степенью течения псориаза (по классификации PASI), которых разделили на подгруппы: а - 17 пациентов, которым назначалась стандартная схема лечения б - 18 пациентов</w:t>
      </w:r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назначалась </w:t>
      </w:r>
      <w:proofErr w:type="spellStart"/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предложеная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схема.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Сбор и хранение мочи больных псориазом для определения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обеспечивающих минимальное их разрушени</w:t>
      </w:r>
      <w:r w:rsidR="00EB67B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присутствии консервантов 6 н НСI и 10 н Н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суточной экскреции </w:t>
      </w:r>
      <w:r w:rsidR="0062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катехоламинов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 методом колоночной хроматографии на окиси алюминия. Интенсивность флюоресценции измеряли на </w:t>
      </w:r>
      <w:proofErr w:type="spellStart"/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пектрофлуориметр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MPF-4А фирмы «Хитачи» (Япония). Пробы с рН 4,2 и рН 6,2, содержащих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регистрировали при 436/550 нм. В этих условиях при рН 4,2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флуоресц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рН 6,2 - А и НА.</w:t>
      </w:r>
    </w:p>
    <w:p w:rsidR="008F101A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суточной экскреции с мочой 17-оксикортикостероид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определяли колориметрическим методом по реакции между фенилгидразином и 17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21-диоксиацетоново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стероида в кислой среде после ферментативного гидролиза [12].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Определение 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5-ОИУ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К, гистидина проводили в одной пробе суточной мочи согласно методическим рекомендациям Ц. И. Герасимовой [8]. Разделение веще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оводили методом колоночной хроматографии, 5-ОИ</w:t>
      </w:r>
      <w:r w:rsidR="00905F2A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- 60% метанолом. В буферном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элюате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определяли гистидин при 440/375 нм, предварительно добавляя 1 н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NaОН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0,1% раствор ортофталевой альдегида и 3 н </w:t>
      </w:r>
      <w:proofErr w:type="spellStart"/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веществ в суточной моче рассчитывали по флюоресценци</w:t>
      </w:r>
      <w:r w:rsidR="002F2E6C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3B327B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сыворотке крови гексоз,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белками, оценивали колориметрическим методом по реакции с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орцинов</w:t>
      </w:r>
      <w:r w:rsidR="002F2E6C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реактивом [12]. К сыворотк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с целью осаждения гликопротеинов добавляли 96% раствор этанола, центрифугировали и растворяли белковый осадок в щелочи с добавлением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орцинового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реактива. Пробы нагревали на водяной бане до 80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="00E34B6A" w:rsidRPr="00E3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минут, охлаждали и </w:t>
      </w:r>
      <w:proofErr w:type="spellStart"/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фотометрировали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540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Абсорбцию учитывали относительно показателей оптической плотности контрольной пробы. Расчет проводили по калибровочному графику. Аналогично проводили определение гексоз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гликозаминогликанов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осаждали раствором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цетилпиридинхлорид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Фракцию гексозы-гликопротеин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находили по разности содержания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гексоз и гексоз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гликозаминогликанов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анализ данных проводили с использованием компьютерного пакета прикладных программ для обработки статистической информации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Statistica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 (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StatSoft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США). Первичн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статистическая обработка количественных экспериментальных данных начинали с проверки предположения о соответствии распределения полученных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выборок закону нормального распределения, применяя критерий Шапиро-Вилка. В случае отсутствия нормального распределения</w:t>
      </w:r>
      <w:r w:rsidR="00622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признаки описывали непараметрическими характеристиками - медианой выборки (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интерквартильним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размахом [значениями 25-го и 75-го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процентиля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]. Для сравнения независимых выборок применяли ранговый критерий Манна-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итни.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4651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при проверке статистических гипотез принимали 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&lt;0,05.</w:t>
      </w:r>
    </w:p>
    <w:p w:rsidR="005A78CD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3AA" w:rsidRPr="00544788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предыдущих наших исследованиях установлено динамика изменений показателей обмена катехоламинов - ДОФА, дофамина, адреналина, норадреналина, ВМК, ГВК в моче больных в зависимости от стадии клинического течения псориаза свидетельствует, что в случае легкой степени тяжести болезни распределение количественных данных по содержанию ДОФА и ГВК практически пересекается с контролем.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Практически не подпадают в интервал выборки контроля норадреналин и адреналин при псориазе с легкой степенью тяжести клинического течения, из чего можно предусматривать для них высокий критерий чувствительности.</w:t>
      </w:r>
    </w:p>
    <w:p w:rsidR="008F101A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Обычно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эрготропны</w:t>
      </w:r>
      <w:r w:rsidR="00622E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отвечающие за адаптационно-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репаративные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реакции, оценивали косвенно 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сыворотке крови общих гексоз, гексоз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гликозаминогликанов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гексоз гликопротеинов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сиаловых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кислот, в моче - 17-оксикортикостероиды. В случае легкой степени тяжести псориаза интервал выборки 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гексоз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гликопротеинов, практически пересекается с интервалом контроля. Для легкой степени тяжести клинического течения псориаза наиболее чувствительными оказались общие гексозы и 17-ОКС (62,86%).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Аналогичный анализ проводили для показателей состояния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Чувствительность показателей состояния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 обследованных больных псориазом с легк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чувствительными оказались: гистидин (100%) и 5-ОИ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 (82,86%). Следует отметить, что для этих показателей характерна тенденция отклонения от контроля в сторону увеличения.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Так, наиболее чувствительными показателями состояния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у больных псориазом с легк</w:t>
      </w:r>
      <w:r w:rsidR="005772B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22ED6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оказались: гистидин, 5-ОИОК, норадреналин, адреналин, общие гексозы, 17-ОКС.</w:t>
      </w:r>
    </w:p>
    <w:p w:rsidR="008F101A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У пациентов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Iа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подгруппы 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терапевтических мероприятий наблюдалось увеличение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≤0,001), по отношению к контролю, уровня адреналина (в среднем на 261%), норадреналина (на 180%), гистидина (на 110%), 5-ОИОК (на 85%), общих гексоз (на 45%) и 17-ОКС (на 26%). После применения этими пациентами стандартной схемы отмечалась статистически значимая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≤0,007) по сравнению с показателями до лечения, динамика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этих показателей, а именно: снижение адреналина и норадреналина в среднем на 55%, гистидина - на 29%, 5-ОИ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общих гексоз - на 25%, 17-ОКС - на 22%. Сравнение показателей после стандартного лечения с показателями контрольной группы свидетельствовало о достоверном увеличен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адреналина (р &lt;0,001), гистидина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0,0023), 5-ОИОК (р = 0,005) и норадреналина (р = 0,001) соответственно на 63, 48 38 и 25%. Уровень общих гексоз и 17-ОКС при этом практически равен значению контроля (р = 0,053 и р = 0,387).</w:t>
      </w:r>
    </w:p>
    <w:p w:rsidR="00207E91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У больных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Iб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подгруппы 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предложенного комплексного медикаментозного лечения также отмечалось повышение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&lt;0,001) по сравнению с контролем, уровня адреналина (в среднем на 301%), норадреналина (на 146%), 5-ОИ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 (на 93%), гистидина (на 79%), общих гексоз (на 50%) и 17-ОКС (на 32%). После проведения комплексно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блюдалось статистически значимое снижение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&lt;0,001) по сравнению с показателями до лечения, содержания адреналина в среднем на 65%, норадреналина - на 53%, гистидина - на 26%, 5-ОИ</w:t>
      </w:r>
      <w:r w:rsidR="003A66A0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на 42%, общих гексоз - на 45% и 17-ОКС - на 24%. Если такую ​​динамику изменений сравнить с контролем, то уровень гистидина и адреналина оставался достоверно повышенным (р = 0,039 и р = 0,029) соответственно на 32 и 37%, а содержание других показателей практически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значению контроля. Относительно стандартной терапевтической схемы отмечалось статистически значимое снижение экскреции с мочой 5-ОИ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0,006), норадреналина (р = 0,028) и адреналина (р = 0,044). При сравнении стандартной и предлагаемой комплексной схемы лечения между собой не определялось достоверных различий со стороны уровня гистидина (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0,056), общих гексоз (р = 0,075), 17-ОКС (р = 0,499). Результаты, полученные после использования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стандартной схеме лечения, сви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детельствуют о более выраженном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чем при отсутствии этих препаратов, и тенденци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приближени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показателей 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</w:t>
      </w:r>
      <w:r w:rsidR="00F57E54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7FF" w:rsidRPr="00A62597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 сравнению с больными </w:t>
      </w:r>
      <w:proofErr w:type="gramStart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а-подгруппы</w:t>
      </w:r>
      <w:proofErr w:type="gramEnd"/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контрольной группы больных у больных б-подгруппы наблюдалось более раннее исчезновение зуда, шелушени</w:t>
      </w:r>
      <w:r w:rsidR="00915A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уменьшалось в среднем в конце первой недели лечения, а на второй неделе появлялись первые приз</w:t>
      </w:r>
      <w:r w:rsidR="00C5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 регресса высыпаний на коже, а так же наблюдалось их разрешение 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более короткие сроки.   </w:t>
      </w:r>
    </w:p>
    <w:p w:rsidR="005A78CD" w:rsidRDefault="00F317FF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CD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комплексное медикаментозное лечение с использованием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Метамакс</w:t>
      </w:r>
      <w:r w:rsidR="00C5373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r w:rsidR="00C5373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объективный и субъективный статус больных с легкой степенью течения псориаза, их качество жизни, способствует положительной динамике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объективных клинических данных, нормализует состояние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</w:t>
      </w:r>
      <w:proofErr w:type="gram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трофотропн</w:t>
      </w:r>
      <w:r w:rsidR="00C5373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организма. </w:t>
      </w:r>
    </w:p>
    <w:p w:rsidR="00F317FF" w:rsidRDefault="005A78CD" w:rsidP="00C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рекомендовать более раннее назначение этих препаратов-корректоров больным псориазом, что в комплексе со стандартными терапевтическими </w:t>
      </w:r>
      <w:r w:rsidR="00C53735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схемами</w:t>
      </w:r>
      <w:r w:rsidR="00F317FF" w:rsidRPr="00A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замедлить прогрессирование заболевания.</w:t>
      </w:r>
    </w:p>
    <w:p w:rsidR="00275F6A" w:rsidRDefault="00275F6A" w:rsidP="00275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75F6A" w:rsidRDefault="00275F6A" w:rsidP="00275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[616.517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:616.839]–085.217.2.2/.3</w:t>
      </w:r>
    </w:p>
    <w:p w:rsidR="00CC4E6A" w:rsidRPr="00CC4E6A" w:rsidRDefault="003E5702" w:rsidP="00CC4E6A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Комплексний підхід медикаментозної корекції порушень стану </w:t>
      </w:r>
      <w:proofErr w:type="spellStart"/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>ерго</w:t>
      </w:r>
      <w:proofErr w:type="spellEnd"/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>трофотропной</w:t>
      </w:r>
      <w:proofErr w:type="spellEnd"/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 при псоріаз</w:t>
      </w:r>
    </w:p>
    <w:p w:rsidR="00CC4E6A" w:rsidRPr="00CC4E6A" w:rsidRDefault="00CC4E6A" w:rsidP="00CC4E6A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 </w:t>
      </w:r>
      <w:proofErr w:type="spellStart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</w:t>
      </w:r>
      <w:r w:rsidRPr="00CC4E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  <w:proofErr w:type="spellEnd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4E6A">
        <w:rPr>
          <w:rFonts w:ascii="Times New Roman" w:hAnsi="Times New Roman"/>
          <w:sz w:val="24"/>
          <w:szCs w:val="24"/>
          <w:lang w:val="uk-UA"/>
        </w:rPr>
        <w:t>Харківський національний медичний університет</w:t>
      </w:r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</w:t>
      </w:r>
      <w:proofErr w:type="spellEnd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дерматолог</w:t>
      </w:r>
      <w:proofErr w:type="spellStart"/>
      <w:r w:rsidRPr="00CC4E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proofErr w:type="spellEnd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венеролог</w:t>
      </w:r>
      <w:proofErr w:type="spellStart"/>
      <w:r w:rsidRPr="00CC4E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proofErr w:type="spellEnd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</w:t>
      </w:r>
      <w:proofErr w:type="spellStart"/>
      <w:r w:rsidRPr="00CC4E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чної</w:t>
      </w:r>
      <w:proofErr w:type="spellEnd"/>
      <w:r w:rsidRPr="00C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косметологии,</w:t>
      </w:r>
      <w:r w:rsidRPr="00CC4E6A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C4E6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4E6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beregovaya</w:t>
        </w:r>
        <w:r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78@</w:t>
        </w:r>
        <w:r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C4E6A" w:rsidRPr="00A802D2" w:rsidRDefault="00CC4E6A" w:rsidP="00B4417D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3E5702" w:rsidRPr="00CC4E6A">
        <w:rPr>
          <w:rFonts w:ascii="Times New Roman" w:hAnsi="Times New Roman" w:cs="Times New Roman"/>
          <w:b/>
          <w:sz w:val="24"/>
          <w:szCs w:val="24"/>
          <w:lang w:val="uk-UA"/>
        </w:rPr>
        <w:t>езюме</w:t>
      </w:r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br/>
        <w:t xml:space="preserve">У статті розглянуті дані дослідження ефективності використання препаратів-коректорів стану 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ерго-</w:t>
      </w:r>
      <w:proofErr w:type="spellEnd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трофотропной</w:t>
      </w:r>
      <w:proofErr w:type="spellEnd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систем - 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Мет</w:t>
      </w:r>
      <w:proofErr w:type="spellEnd"/>
      <w:r w:rsidR="00FC2F2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макса</w:t>
      </w:r>
      <w:proofErr w:type="spellEnd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Кортексин</w:t>
      </w:r>
      <w:r w:rsidR="00F4251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на тлі стандартної схеми </w:t>
      </w:r>
      <w:bookmarkStart w:id="0" w:name="_GoBack"/>
      <w:bookmarkEnd w:id="0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псоріазу порівняльним методом динаміки змін виявлених чутливих показників стану 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ерго-</w:t>
      </w:r>
      <w:proofErr w:type="spellEnd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>трофотропних</w:t>
      </w:r>
      <w:proofErr w:type="spellEnd"/>
      <w:r w:rsidR="003E5702"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>. Результати</w:t>
      </w:r>
      <w:r w:rsidR="00A802D2">
        <w:rPr>
          <w:rFonts w:ascii="Times New Roman" w:hAnsi="Times New Roman" w:cs="Times New Roman"/>
          <w:sz w:val="24"/>
          <w:szCs w:val="24"/>
          <w:lang w:val="uk-UA"/>
        </w:rPr>
        <w:t xml:space="preserve">, отримані після використання </w:t>
      </w:r>
      <w:proofErr w:type="spellStart"/>
      <w:r w:rsidR="00A802D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>етамаксу</w:t>
      </w:r>
      <w:proofErr w:type="spellEnd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>Кортексин</w:t>
      </w:r>
      <w:r w:rsidR="00A802D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 xml:space="preserve"> в комплексі з</w:t>
      </w:r>
      <w:r w:rsidR="00A802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стандартною схемою лікування хворих на псоріаз, свідчать про більш виразному</w:t>
      </w:r>
      <w:r w:rsidR="00A80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поліпшенні стану </w:t>
      </w:r>
      <w:proofErr w:type="spellStart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>ерго-</w:t>
      </w:r>
      <w:proofErr w:type="spellEnd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>трофотропн</w:t>
      </w:r>
      <w:r w:rsidR="00A802D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A802D2" w:rsidRPr="00A802D2">
        <w:rPr>
          <w:rFonts w:ascii="Times New Roman" w:hAnsi="Times New Roman" w:cs="Times New Roman"/>
          <w:sz w:val="24"/>
          <w:szCs w:val="24"/>
          <w:lang w:val="uk-UA"/>
        </w:rPr>
        <w:t xml:space="preserve"> систем і тенденції наближення їх показників до контрольних значень.</w:t>
      </w:r>
    </w:p>
    <w:p w:rsidR="007D2FA7" w:rsidRPr="007D2FA7" w:rsidRDefault="003E5702" w:rsidP="00B4417D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4E6A">
        <w:rPr>
          <w:rFonts w:ascii="Times New Roman" w:hAnsi="Times New Roman" w:cs="Times New Roman"/>
          <w:b/>
          <w:sz w:val="24"/>
          <w:szCs w:val="24"/>
          <w:lang w:val="uk-UA"/>
        </w:rPr>
        <w:t>   Ключові слова</w:t>
      </w:r>
      <w:r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: псоріаз, </w:t>
      </w:r>
      <w:proofErr w:type="spellStart"/>
      <w:r w:rsidRPr="00CC4E6A">
        <w:rPr>
          <w:rFonts w:ascii="Times New Roman" w:hAnsi="Times New Roman" w:cs="Times New Roman"/>
          <w:sz w:val="24"/>
          <w:szCs w:val="24"/>
          <w:lang w:val="uk-UA"/>
        </w:rPr>
        <w:t>ерготропная</w:t>
      </w:r>
      <w:proofErr w:type="spellEnd"/>
      <w:r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система, </w:t>
      </w:r>
      <w:proofErr w:type="spellStart"/>
      <w:r w:rsidRPr="00CC4E6A">
        <w:rPr>
          <w:rFonts w:ascii="Times New Roman" w:hAnsi="Times New Roman" w:cs="Times New Roman"/>
          <w:sz w:val="24"/>
          <w:szCs w:val="24"/>
          <w:lang w:val="uk-UA"/>
        </w:rPr>
        <w:t>трофотропная</w:t>
      </w:r>
      <w:proofErr w:type="spellEnd"/>
      <w:r w:rsidRPr="00CC4E6A">
        <w:rPr>
          <w:rFonts w:ascii="Times New Roman" w:hAnsi="Times New Roman" w:cs="Times New Roman"/>
          <w:sz w:val="24"/>
          <w:szCs w:val="24"/>
          <w:lang w:val="uk-UA"/>
        </w:rPr>
        <w:t xml:space="preserve"> система, лікування</w:t>
      </w:r>
    </w:p>
    <w:p w:rsidR="00275F6A" w:rsidRDefault="00275F6A" w:rsidP="00275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75F6A" w:rsidRPr="00275F6A" w:rsidRDefault="00275F6A" w:rsidP="00275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</w:t>
      </w:r>
      <w:r w:rsidRPr="00275F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[616.517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:616.839]–085.217.2.2/.3</w:t>
      </w:r>
    </w:p>
    <w:p w:rsidR="007D2FA7" w:rsidRDefault="007D2FA7" w:rsidP="00B4417D">
      <w:pPr>
        <w:pStyle w:val="a5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7D2F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Complex approach of </w:t>
      </w:r>
      <w:proofErr w:type="spellStart"/>
      <w:r w:rsidRPr="007D2F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medicamental</w:t>
      </w:r>
      <w:proofErr w:type="spellEnd"/>
      <w:r w:rsidRPr="007D2F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correction of disorders of condition of ergo- and </w:t>
      </w:r>
      <w:proofErr w:type="spellStart"/>
      <w:r w:rsidRPr="007D2F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trophotropic</w:t>
      </w:r>
      <w:proofErr w:type="spellEnd"/>
      <w:r w:rsidRPr="007D2F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systems at psoriasis.</w:t>
      </w:r>
      <w:proofErr w:type="gramEnd"/>
    </w:p>
    <w:p w:rsidR="007D2FA7" w:rsidRPr="00C53F82" w:rsidRDefault="007D2FA7" w:rsidP="00B4417D">
      <w:pPr>
        <w:pStyle w:val="a5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9C28AC">
        <w:rPr>
          <w:rFonts w:ascii="Times New Roman" w:hAnsi="Times New Roman" w:cs="Times New Roman"/>
          <w:sz w:val="24"/>
          <w:szCs w:val="24"/>
          <w:lang w:val="en-US"/>
        </w:rPr>
        <w:t>Beregovay</w:t>
      </w:r>
      <w:proofErr w:type="spellEnd"/>
      <w:r w:rsidRPr="009C2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8AC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9C2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8AC">
        <w:rPr>
          <w:rFonts w:ascii="Times New Roman" w:hAnsi="Times New Roman" w:cs="Times New Roman"/>
          <w:sz w:val="24"/>
          <w:szCs w:val="24"/>
          <w:lang w:val="en-US"/>
        </w:rPr>
        <w:t>Anatolievna</w:t>
      </w:r>
      <w:proofErr w:type="spellEnd"/>
      <w:r w:rsidRPr="009C28AC">
        <w:rPr>
          <w:rFonts w:ascii="Times New Roman" w:hAnsi="Times New Roman" w:cs="Times New Roman"/>
          <w:sz w:val="24"/>
          <w:szCs w:val="24"/>
          <w:lang w:val="en-US"/>
        </w:rPr>
        <w:t>, Kharkov National Medical University, assistant of the department of dermatology, vene</w:t>
      </w:r>
      <w:r w:rsidR="00C53F82">
        <w:rPr>
          <w:rFonts w:ascii="Times New Roman" w:hAnsi="Times New Roman" w:cs="Times New Roman"/>
          <w:sz w:val="24"/>
          <w:szCs w:val="24"/>
          <w:lang w:val="en-US"/>
        </w:rPr>
        <w:t xml:space="preserve">reology and medical cosmetology, </w:t>
      </w:r>
      <w:r w:rsidR="00C53F82" w:rsidRPr="00C53F8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C53F82"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beregovaya</w:t>
        </w:r>
        <w:r w:rsidR="00C53F82" w:rsidRPr="00C53F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78@</w:t>
        </w:r>
        <w:r w:rsidR="00C53F82"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53F82" w:rsidRPr="00C53F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53F82" w:rsidRPr="00CC4E6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75F6A" w:rsidRDefault="007D2FA7" w:rsidP="00275F6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41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Summary</w:t>
      </w:r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In the article are examined researching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datas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effectivness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using drug-correctors of condition of ergo- and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trophotropic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systems -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</w:t>
      </w:r>
      <w:r w:rsidR="00FC2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Korteksin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against the background of standard scheme of psoriatic treatment -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comperative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method of dynamics of changing of sensitive indexes of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conditon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ergo- and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trophotropic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systems.</w:t>
      </w:r>
      <w:r w:rsidR="00A802D2" w:rsidRPr="00A80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2D2" w:rsidRPr="009C28AC">
        <w:rPr>
          <w:rFonts w:ascii="Times New Roman" w:hAnsi="Times New Roman" w:cs="Times New Roman"/>
          <w:sz w:val="24"/>
          <w:szCs w:val="24"/>
          <w:lang w:val="en-US"/>
        </w:rPr>
        <w:t xml:space="preserve">The results which were given after the using of </w:t>
      </w:r>
      <w:proofErr w:type="spellStart"/>
      <w:r w:rsidR="00A802D2" w:rsidRPr="009C28AC">
        <w:rPr>
          <w:rFonts w:ascii="Times New Roman" w:hAnsi="Times New Roman" w:cs="Times New Roman"/>
          <w:sz w:val="24"/>
          <w:szCs w:val="24"/>
          <w:lang w:val="en-US"/>
        </w:rPr>
        <w:t>Metomax</w:t>
      </w:r>
      <w:proofErr w:type="spellEnd"/>
      <w:r w:rsidR="00A802D2" w:rsidRPr="009C28A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A802D2" w:rsidRPr="009C28AC">
        <w:rPr>
          <w:rFonts w:ascii="Times New Roman" w:hAnsi="Times New Roman" w:cs="Times New Roman"/>
          <w:sz w:val="24"/>
          <w:szCs w:val="24"/>
          <w:lang w:val="en-US"/>
        </w:rPr>
        <w:t>Corteksin</w:t>
      </w:r>
      <w:proofErr w:type="spellEnd"/>
      <w:r w:rsidR="00A802D2" w:rsidRPr="009C28AC">
        <w:rPr>
          <w:rFonts w:ascii="Times New Roman" w:hAnsi="Times New Roman" w:cs="Times New Roman"/>
          <w:sz w:val="24"/>
          <w:szCs w:val="24"/>
          <w:lang w:val="en-US"/>
        </w:rPr>
        <w:t xml:space="preserve"> in the complex of standard scheme of psoriasis patients indicate about more marked improvement of ergo and trophic systems and the tendency of approaching their indexes to the control value.</w:t>
      </w:r>
    </w:p>
    <w:p w:rsidR="007D2FA7" w:rsidRPr="007D2FA7" w:rsidRDefault="007D2FA7" w:rsidP="00275F6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Pr="007D2F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words:</w:t>
      </w:r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psoriasis,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ergotrohic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system, </w:t>
      </w:r>
      <w:proofErr w:type="spellStart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trophotropic</w:t>
      </w:r>
      <w:proofErr w:type="spellEnd"/>
      <w:r w:rsidRPr="007D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system, treatment.</w:t>
      </w:r>
    </w:p>
    <w:p w:rsidR="00F917FA" w:rsidRPr="001E51B8" w:rsidRDefault="00F917FA" w:rsidP="00F917FA">
      <w:pPr>
        <w:pStyle w:val="a5"/>
        <w:spacing w:after="0"/>
        <w:ind w:left="-284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E51B8"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lastRenderedPageBreak/>
        <w:t>Литература</w:t>
      </w:r>
      <w:proofErr w:type="spellEnd"/>
    </w:p>
    <w:p w:rsidR="00F917FA" w:rsidRPr="001E51B8" w:rsidRDefault="00F917FA" w:rsidP="00F917FA">
      <w:pPr>
        <w:pStyle w:val="a5"/>
        <w:spacing w:after="0"/>
        <w:ind w:left="-284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</w:pP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Беленичев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И.Ф. 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Рациональная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нейропротекция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 И.Ф.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Беленичев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, В.И.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Черний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, Ю.М. Колесник. – Донецк: ИД «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Заславский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», 2009. – 261 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с</w:t>
      </w:r>
      <w:proofErr w:type="gramEnd"/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Берегова А.А. Оцінка обміну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катехоламінів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у динаміці прогресування псоріазу/ Берегова А.А., 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Біловол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А.М.// Вісник проблем біології і медицини.- 2015.-  Випуск 2, Том 1 (118).-  С. 103-107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Берегова А.А. Стан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симпато-адреналової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системи у хворих на псоріаз з різним ступенем тяжкості клінічного перебігу / Берегова А.А.//  Дерматологія та венерологія.- 2015.-  № 1 (67).- с. 20-26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Береговая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А.А.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состояния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адаптивно-репаративных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реакций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содержанию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компонентов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углеводсодержащих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белков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сыворотке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различной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тяж ести 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Береговая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Беловол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А.Н., Стеценко С.А. // Журнал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Гродненского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государственного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университета.-</w:t>
      </w:r>
      <w:proofErr w:type="spellEnd"/>
      <w:r w:rsidRPr="001E51B8">
        <w:rPr>
          <w:rFonts w:ascii="Times New Roman" w:hAnsi="Times New Roman" w:cs="Times New Roman"/>
          <w:sz w:val="24"/>
          <w:szCs w:val="24"/>
        </w:rPr>
        <w:t xml:space="preserve"> 2015</w:t>
      </w: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.-  </w:t>
      </w:r>
      <w:r w:rsidRPr="001E51B8">
        <w:rPr>
          <w:rFonts w:ascii="Times New Roman" w:hAnsi="Times New Roman" w:cs="Times New Roman"/>
          <w:sz w:val="24"/>
          <w:szCs w:val="24"/>
        </w:rPr>
        <w:t xml:space="preserve"> № 4</w:t>
      </w: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.- </w:t>
      </w:r>
      <w:r w:rsidRPr="001E51B8">
        <w:rPr>
          <w:rFonts w:ascii="Times New Roman" w:hAnsi="Times New Roman" w:cs="Times New Roman"/>
          <w:sz w:val="24"/>
          <w:szCs w:val="24"/>
        </w:rPr>
        <w:t xml:space="preserve"> С. 44-47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Біловол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А.М. Стан процесів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перекисного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окислення ліпідів та окисної модифікації білків у хворих на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псоріатичну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хворобу // Ліки України. – 2010. - № 1. – С. 27-29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Бронников В.А. Практика применения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кортексина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нейрореабилитации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: реальная возможность и перспективы / В.А. Бронников, С.В.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Щенникова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Terra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Medica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. – 2007. -  № 5 (49). – С. 40-44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Вміст серотоніну та його похідних у сечі хворих на псоріаз з різним ступенем тяжкості / Берегова А.А.,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Біловол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А.М.,  Жуков В.І. та ін. // Український журнал дерматології, венерології, косметології.- 2015.-  №2 (57).- С.56-60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Герасимова Ц.И.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Определение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серотонина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триптофана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5-окситриптофана, 5-оксииндолуксусной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кислоты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гистамина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гистидина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одной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пробе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биологического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материала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Ц.И. Герасимова /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Лабораторное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дело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. – 1977. - № 1. – С. 14-20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Головач І.Ю. Використання коректорів метаболізму на основі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мельдонію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дигідрату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сучасний підхід у комбінованій терапії ішемічних захворювань серця / І.Ю. Головач, О.М. Авраменко // Ліки України. – 2011. – №8 (154). – С. 68–72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анченко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И.Ю. Динамика когнитивных нарушений при сосудистых поражениях головного мозга на фоне лечения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кортексином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// Пептидные препараты — препараты 21-го века. — СПб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.: 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ИИЦ ВМА, 2006. — С. 17-18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Демченко А.В. Вплив препарату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Метамакс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когнітивні функції у хворих на хронічну ішемію мозку / А.В. Демченко; А.В.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>Ревенько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 А.О. Волік // Ліки України. – 2013. - № 8 (174). – С. 67-70 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Камышников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С.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Клинико-биохимическая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лабораторная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диагностика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В. С.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Камышников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Справочник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: В 2-х томах. - 2-е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изд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Минск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Интерпрессервис</w:t>
      </w:r>
      <w:proofErr w:type="spellEnd"/>
      <w:r w:rsidRPr="001E51B8">
        <w:rPr>
          <w:rFonts w:ascii="Times New Roman" w:eastAsia="Calibri" w:hAnsi="Times New Roman" w:cs="Times New Roman"/>
          <w:sz w:val="24"/>
          <w:szCs w:val="24"/>
          <w:lang w:val="uk-UA"/>
        </w:rPr>
        <w:t>, 2003. - Т. 2. - 463 с</w:t>
      </w:r>
      <w:r w:rsidRPr="001E51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Кортексин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- пятилетний опыт отечественной неврологии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 П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од ред. А.А.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Скоромца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, М.М. Дьяконова. - СПб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.: 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Наука, 2005. - 224 с.</w:t>
      </w:r>
    </w:p>
    <w:p w:rsidR="00F917FA" w:rsidRPr="001E51B8" w:rsidRDefault="00F917FA" w:rsidP="00F917FA">
      <w:pPr>
        <w:pStyle w:val="a5"/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Котвіцька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А.А. Дослідження показників поширеності псоріазу в країнах світу та Україні 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Котвіцька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А.А., Карло В.В. //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Запорожский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медицинский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журнал.-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2013. -  №3(78). с. 38-42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Мельдоний-мик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милдронат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: особенности фармакологического действия и эквивалентность / Д.А. Рождественский, Э.А. Доценко, Ю.Я. Бобков и др. // Лечебное дело. – 2011. - № 6 (22). – С. 47-51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Метаболитные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метаболитотропные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препараты в системе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карди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-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органопротекции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 И.С.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Чекман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, Н.А. Горчакова, С.Б.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Французова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и др. //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– К., 2009. – 155 с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Минеев В.Н.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Кортексин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как отражение тенденции современной медицины к междисциплинарному подходу к совместному лечению / В.Н.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Миневе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// Новые Санкт-Петербургские врачебные ведомости. – 2009. - № 1. – С. 70-73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Многоцентровое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рандомизированное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проспективное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двойное слепое плацебо-контролируемое исследование безопасности и эффективности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кортексина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в остром и раннем восстановительном периоде полушарного ишемического инсульта / Л.В.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Стаховская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, К.С.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Мешкова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, М.Н.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Дадашева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и др. // Вестник российской военно-медицинской академии. – 2012. - № 1 (37). – С. 218-244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Последние новости о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кортексине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нейропротекция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на молекулярном уровне) / О.К.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Гранстрем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>, Е.Г. Сорокина, Т.П. Сторожевых и др. – М.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Слово, 2006. – 553 с.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Системы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свободнорадикального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окисления и антиоксидантной защиты как индикаторы активности пролиферации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креатиноцитов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при псориазе 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Грашин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Р.А., Антонов В.Г.,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eastAsia="uk-UA"/>
        </w:rPr>
        <w:t>Карпищенко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А.И.</w:t>
      </w: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и др.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// Клиническая лабораторная диагностика. - 2010. - № 1. - С. 18-24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  <w:lang w:val="en-US"/>
        </w:rPr>
        <w:t>Global epidemiology of psoriasis: a systematic review of incidence and prevalence</w:t>
      </w:r>
      <w:r w:rsidRPr="00C5761B">
        <w:rPr>
          <w:rFonts w:ascii="Times New Roman" w:hAnsi="Times New Roman" w:cs="Times New Roman"/>
          <w:sz w:val="24"/>
          <w:szCs w:val="24"/>
          <w:lang w:val="uk-UA"/>
        </w:rPr>
        <w:t>. /</w:t>
      </w:r>
      <w:hyperlink r:id="rId10" w:history="1">
        <w:proofErr w:type="spellStart"/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Parisi</w:t>
        </w:r>
        <w:proofErr w:type="spellEnd"/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R</w:t>
        </w:r>
      </w:hyperlink>
      <w:r w:rsidRPr="00C57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76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8A4CF2" w:rsidRPr="00C5761B">
        <w:rPr>
          <w:rFonts w:ascii="Times New Roman" w:hAnsi="Times New Roman" w:cs="Times New Roman"/>
          <w:sz w:val="24"/>
          <w:szCs w:val="24"/>
        </w:rPr>
        <w:fldChar w:fldCharType="begin"/>
      </w:r>
      <w:r w:rsidRPr="00C5761B">
        <w:rPr>
          <w:rFonts w:ascii="Times New Roman" w:hAnsi="Times New Roman" w:cs="Times New Roman"/>
          <w:sz w:val="24"/>
          <w:szCs w:val="24"/>
          <w:lang w:val="en-US"/>
        </w:rPr>
        <w:instrText>HYPERLINK "http://www.ncbi.nlm.nih.gov/pubmed/?term=Symmons%20DP%5BAuthor%5D&amp;cauthor=true&amp;cauthor_uid=23014338"</w:instrText>
      </w:r>
      <w:r w:rsidR="008A4CF2" w:rsidRPr="00C5761B">
        <w:rPr>
          <w:rFonts w:ascii="Times New Roman" w:hAnsi="Times New Roman" w:cs="Times New Roman"/>
          <w:sz w:val="24"/>
          <w:szCs w:val="24"/>
        </w:rPr>
        <w:fldChar w:fldCharType="separate"/>
      </w:r>
      <w:r w:rsidRPr="00C576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Symmons</w:t>
      </w:r>
      <w:proofErr w:type="spellEnd"/>
      <w:r w:rsidRPr="00C576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DP</w:t>
      </w:r>
      <w:r w:rsidR="008A4CF2" w:rsidRPr="00C5761B">
        <w:rPr>
          <w:rFonts w:ascii="Times New Roman" w:hAnsi="Times New Roman" w:cs="Times New Roman"/>
          <w:sz w:val="24"/>
          <w:szCs w:val="24"/>
        </w:rPr>
        <w:fldChar w:fldCharType="end"/>
      </w:r>
      <w:r w:rsidRPr="00C57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76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1" w:history="1"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Griffiths CE</w:t>
        </w:r>
      </w:hyperlink>
      <w:r w:rsidRPr="00C57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76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2" w:history="1"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Ashcroft DM</w:t>
        </w:r>
      </w:hyperlink>
      <w:r w:rsidRPr="00C576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576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3" w:history="1"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Identification and Management of Psoriasis and Associated </w:t>
        </w:r>
        <w:proofErr w:type="spellStart"/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ComorbidiTy</w:t>
        </w:r>
        <w:proofErr w:type="spellEnd"/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(IMPACT) project team</w:t>
        </w:r>
      </w:hyperlink>
      <w:r w:rsidRPr="00C5761B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hyperlink r:id="rId14" w:tooltip="The Journal of investigative dermatology." w:history="1"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J. Invest </w:t>
        </w:r>
        <w:proofErr w:type="spellStart"/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Dermatol</w:t>
        </w:r>
        <w:proofErr w:type="spellEnd"/>
        <w:r w:rsidRPr="00C576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1E51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1E51B8">
        <w:rPr>
          <w:rFonts w:ascii="Times New Roman" w:hAnsi="Times New Roman" w:cs="Times New Roman"/>
          <w:sz w:val="24"/>
          <w:szCs w:val="24"/>
          <w:lang w:val="en-US"/>
        </w:rPr>
        <w:t>2013 Feb</w:t>
      </w:r>
      <w:proofErr w:type="gramStart"/>
      <w:r w:rsidRPr="001E51B8">
        <w:rPr>
          <w:rFonts w:ascii="Times New Roman" w:hAnsi="Times New Roman" w:cs="Times New Roman"/>
          <w:sz w:val="24"/>
          <w:szCs w:val="24"/>
          <w:lang w:val="en-US"/>
        </w:rPr>
        <w:t>;133</w:t>
      </w:r>
      <w:proofErr w:type="gramEnd"/>
      <w:r w:rsidRPr="001E51B8">
        <w:rPr>
          <w:rFonts w:ascii="Times New Roman" w:hAnsi="Times New Roman" w:cs="Times New Roman"/>
          <w:sz w:val="24"/>
          <w:szCs w:val="24"/>
          <w:lang w:val="en-US"/>
        </w:rPr>
        <w:t>(2):377-85</w:t>
      </w:r>
      <w:r w:rsidRPr="001E51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Modulation of myocardial energy metabolism with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Mildronate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– an effective approach in the treatment of chronic heart failure 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Skarda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et al.  // Proc. Latvian Acad. Sci. – 2011. – Vol. 55. – P. 73-79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Role of oxidative stress in various stages of psoriasis</w:t>
      </w: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/</w:t>
      </w:r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Kadam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D.P.,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Suryakar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A.N.,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Ankush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R.D.,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Kadam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C.Y., Deshpande K.H. // Ind. J.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Clin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Biochem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en-US" w:eastAsia="uk-UA"/>
        </w:rPr>
        <w:t>. – 2010. - 25(4). - P. 388-392</w:t>
      </w:r>
    </w:p>
    <w:p w:rsidR="00F917FA" w:rsidRPr="001E51B8" w:rsidRDefault="00F917FA" w:rsidP="00F917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Stress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Influencing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Factor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Heller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Modified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, 2011,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Sept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21.- U.S.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Library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</w:p>
    <w:p w:rsidR="00F917FA" w:rsidRDefault="00F917FA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64" w:rsidRDefault="00514264" w:rsidP="007D2FA7">
      <w:pPr>
        <w:pStyle w:val="a5"/>
        <w:spacing w:after="0"/>
        <w:ind w:left="-284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</w:pPr>
    </w:p>
    <w:p w:rsidR="00514264" w:rsidRDefault="00514264" w:rsidP="007D2FA7">
      <w:pPr>
        <w:pStyle w:val="a5"/>
        <w:spacing w:after="0"/>
        <w:ind w:left="-284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</w:pPr>
    </w:p>
    <w:p w:rsidR="007D2FA7" w:rsidRPr="001E51B8" w:rsidRDefault="00275F6A" w:rsidP="007D2FA7">
      <w:pPr>
        <w:pStyle w:val="a5"/>
        <w:spacing w:after="0"/>
        <w:ind w:left="-284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lastRenderedPageBreak/>
        <w:t>Л</w:t>
      </w:r>
      <w:r w:rsidR="007D2FA7" w:rsidRPr="001E51B8"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t>итература</w:t>
      </w:r>
      <w:proofErr w:type="spellEnd"/>
    </w:p>
    <w:p w:rsidR="007D2FA7" w:rsidRDefault="007D2FA7" w:rsidP="007D2F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Belenichev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proofErr w:type="gramStart"/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Chernij</w:t>
      </w:r>
      <w:proofErr w:type="spellEnd"/>
      <w:proofErr w:type="gramEnd"/>
      <w:r w:rsidR="00933E0F"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, </w:t>
      </w:r>
      <w:proofErr w:type="spellStart"/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Kolesnik</w:t>
      </w:r>
      <w:proofErr w:type="spellEnd"/>
      <w:r w:rsidR="00933E0F"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</w:t>
      </w:r>
      <w:proofErr w:type="spellEnd"/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933E0F"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Racional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naja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nejroprotekcija</w:t>
      </w:r>
      <w:proofErr w:type="spellEnd"/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proofErr w:type="gramEnd"/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Doneck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Zaslavskij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», 2009. – 261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802D2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Beregova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lovol</w:t>
      </w:r>
      <w:proofErr w:type="spellEnd"/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933E0F"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33E0F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nka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obm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kateholam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dinam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progresuvannja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azu</w:t>
      </w:r>
      <w:proofErr w:type="spellEnd"/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933E0F"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//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snik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problem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olog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ії</w:t>
      </w:r>
      <w:proofErr w:type="spellEnd"/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medicini</w:t>
      </w:r>
      <w:proofErr w:type="spellEnd"/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–</w:t>
      </w:r>
      <w:r w:rsidRPr="00A8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2015. –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Vipusk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2,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Tom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 (118). –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103-107</w:t>
      </w:r>
      <w:r w:rsidRPr="00933E0F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Beregova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simpato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adrenalovo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ї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sistemi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hvorih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znim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stupenem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tjazhkost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kl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chnogo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pereb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</w:t>
      </w:r>
      <w:proofErr w:type="spellEnd"/>
      <w:r w:rsid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Dermatolog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venerolog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</w:t>
      </w:r>
      <w:proofErr w:type="spellEnd"/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– 2015. – № 1 (67). –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20-26</w:t>
      </w:r>
      <w:r w:rsidRPr="00933E0F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Beregova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Belovol</w:t>
      </w:r>
      <w:proofErr w:type="spellEnd"/>
      <w:r w:rsidR="0092770A"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92770A"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92770A"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Stecenko</w:t>
      </w:r>
      <w:proofErr w:type="spellEnd"/>
      <w:r w:rsidR="0092770A"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92770A"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92770A"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Ocenka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sostojanija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adaptivno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reparativnyh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reakcij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soderzhaniju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komponentov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uglevodsoderzhashih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belkov</w:t>
      </w:r>
      <w:proofErr w:type="spellEnd"/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33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syvorotke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krovi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nyh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psoriazom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razlichnoj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stepeni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tjazh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esti</w:t>
      </w:r>
      <w:proofErr w:type="spellEnd"/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Zhurnal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Grodnenskogo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gosudarstvennogo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medicinskogo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universiteta</w:t>
      </w:r>
      <w:proofErr w:type="spellEnd"/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2015. –</w:t>
      </w:r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№ 4.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44-47</w:t>
      </w:r>
      <w:r w:rsidRPr="0092770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lovol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perekisnogo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okislennja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okisno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ї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modif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kac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ії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lk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hvorih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atichnu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hvorobu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//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Ukra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ї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– 2010. - № 1. –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27-29</w:t>
      </w:r>
      <w:r w:rsidRPr="00F0146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6.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Bronnikov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proofErr w:type="gramStart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Shhennikova</w:t>
      </w:r>
      <w:proofErr w:type="spellEnd"/>
      <w:r w:rsidR="0092770A"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92770A"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proofErr w:type="gramEnd"/>
      <w:r w:rsidR="0092770A"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Praktika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primenenija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korteksina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nejroreabilitacii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real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naja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vozmozhnost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'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perspektivy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TerraMedica</w:t>
      </w:r>
      <w:proofErr w:type="spellEnd"/>
      <w:r w:rsidRPr="00F0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– 2007. 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№ 5 (49). – S. 40-44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7. </w:t>
      </w:r>
      <w:proofErr w:type="spellStart"/>
      <w:proofErr w:type="gramStart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Beregova</w:t>
      </w:r>
      <w:proofErr w:type="spellEnd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A.A., B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lovol</w:t>
      </w:r>
      <w:proofErr w:type="spellEnd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A.M., Zhukov V.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ta 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n.</w:t>
      </w:r>
      <w:proofErr w:type="gramEnd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Vm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seroton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nu ta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jogo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dnih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sech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hvorih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z r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znim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stupenem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tjazhkost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/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Ukra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ns'kij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zhurnal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dermatolog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ії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venerolog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ії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kosmetolog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ії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2015.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№2 (57).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S.56-60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8.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Gerasimova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C.I.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Opredelenie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serotonina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triptofana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5-oksitriptofana, 5-oksiindoluksusnoj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kisloty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gistamina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gistidina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odnoj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probe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biologicheskogo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materiala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C.I.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Gerasimova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Laboratornoe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1977. </w:t>
      </w:r>
      <w:proofErr w:type="gramStart"/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№ 1.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S. 14-20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Golovach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proofErr w:type="gramEnd"/>
      <w:r w:rsidR="0092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2770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Avramenko</w:t>
      </w:r>
      <w:proofErr w:type="spellEnd"/>
      <w:r w:rsidR="0099761A" w:rsidRPr="0099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761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O.M.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Vikoristannja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korektor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metabol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zmu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osnov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mel'don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dig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dratu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suchasnij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dh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 u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komb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novan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terap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ії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shem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chnih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zahvorjuvan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'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sercja</w:t>
      </w:r>
      <w:proofErr w:type="spellEnd"/>
      <w:r w:rsidR="0099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// L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Ukra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2011. 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№8 (154).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S. 68–72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Danchenko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I.Ju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Dinamika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kognitivnyh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narushenij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sosudistyh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porazhenijah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golovnogo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mozga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fone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lechenija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korteksinom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Peptidnye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preparaty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—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preparaty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21-go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veka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—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SPb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.: IIC VMA, 2006. — S. 17-18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11.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Demchenko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A.V.</w:t>
      </w:r>
      <w:r w:rsidR="00297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978F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Reven'ko</w:t>
      </w:r>
      <w:proofErr w:type="spellEnd"/>
      <w:r w:rsidR="002978FA" w:rsidRPr="00297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97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A.V.</w:t>
      </w:r>
      <w:r w:rsidR="002978F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2978F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proofErr w:type="spellEnd"/>
      <w:r w:rsidR="002978F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2978F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978FA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A.O.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Vpliv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preparatu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Metamaks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kogn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tivn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funkc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ії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hvorih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hron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chnu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shem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mozku</w:t>
      </w:r>
      <w:proofErr w:type="spellEnd"/>
      <w:r w:rsidR="006D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L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Ukra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2013. </w:t>
      </w:r>
      <w:proofErr w:type="gramStart"/>
      <w:r w:rsidR="006D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№ 8 (174).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S. 67-70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12.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Kamyshnikov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 S.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Kliniko-biohimiche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skaja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laboratornaja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diagnostika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proofErr w:type="gram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Spravochnik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V 2-h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tomah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2-e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izd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- Minsk: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Interpresservis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2003. - T. 2. - 463 s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13.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Korteksin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pjatiletnij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opyt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otechestvennoj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nevrologii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Pod red. A.A.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Skoromca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M.M.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D'jakonova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-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SPb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.: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Nauka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2005. - 224 s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14.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Kotv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c'ka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A.A.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Karlo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V.V.</w:t>
      </w:r>
      <w:proofErr w:type="gram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Dosl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dzhennja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pokaznik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poshirenost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nah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sv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ta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Ukra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porozhskij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medicinskij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zhurnal</w:t>
      </w:r>
      <w:proofErr w:type="spellEnd"/>
      <w:proofErr w:type="gram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.–</w:t>
      </w:r>
      <w:proofErr w:type="gram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2013. 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№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3(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78).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 38-42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15. </w:t>
      </w:r>
      <w:proofErr w:type="spellStart"/>
      <w:proofErr w:type="gram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Rozhdestvenskij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D.A.,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Docenko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Je.A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Bobkov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Ju.Ja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gram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</w:t>
      </w:r>
      <w:proofErr w:type="gram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Mel'donij-mik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mildronat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osobennosti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farmakologicheskog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dejstvija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jekvivalentnost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Lechebnoe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delo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2011. </w:t>
      </w:r>
      <w:proofErr w:type="gram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№ 6 (22).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S. 47-51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16.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Chekman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I.S.,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Gorchakova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N.A.,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Francuzova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S.B.  </w:t>
      </w:r>
      <w:proofErr w:type="gram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dr.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Metabolitnye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metabolitotropnye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preparaty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steme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kardio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i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organoprotekcii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– K., 2009. – 155 s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17. </w:t>
      </w:r>
      <w:proofErr w:type="spellStart"/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Mineev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V.N.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Korteksin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kak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otrazhenie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tendencii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sovremennoj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mezhdisciplinarnomu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podhodu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sovmestnomu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lecheniju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proofErr w:type="gram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Novye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Sankt-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Peterburgskie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vrachebnye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vedomosti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2009. 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№ 1.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S. 70-73</w:t>
      </w:r>
      <w:r w:rsidRPr="007D2FA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18.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L.V.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Stahovskaja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K.S.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Meshkova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M.N.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Dadasheva</w:t>
      </w:r>
      <w:proofErr w:type="spellEnd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dr.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Mnogocentrovoe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randomizirovannoe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prospektivnoe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dvojnoe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slepoe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placebo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kontroliruemoe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issledovanie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bezopasnosti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jeffektivnosti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korteksina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ostrom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rannem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vosstanovitel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nom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periode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polush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arnogo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ishemicheskogo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insul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proofErr w:type="gram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Vestnik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rossijskoj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voenno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medicinskoj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akademii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– 2012. 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№ 1 (37). –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218-244</w:t>
      </w:r>
      <w:r w:rsidRPr="006C338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19.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Granstrem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Sorokina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Storozhevyh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 </w:t>
      </w:r>
      <w:proofErr w:type="gram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3388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</w:t>
      </w:r>
      <w:proofErr w:type="spellEnd"/>
      <w:r w:rsidR="006C3388"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Poslednie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novosti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korteksine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nejroprotekcija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molekuljarnom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urovne</w:t>
      </w:r>
      <w:proofErr w:type="spellEnd"/>
      <w:r w:rsid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) 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: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Slovo</w:t>
      </w:r>
      <w:proofErr w:type="spellEnd"/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2006. – 553 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6C338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6C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20. </w:t>
      </w:r>
      <w:proofErr w:type="spellStart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Grashin</w:t>
      </w:r>
      <w:proofErr w:type="spellEnd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R.A., </w:t>
      </w:r>
      <w:proofErr w:type="spellStart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Antonov</w:t>
      </w:r>
      <w:proofErr w:type="spellEnd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V.G., </w:t>
      </w:r>
      <w:proofErr w:type="spellStart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Karpishhenko</w:t>
      </w:r>
      <w:proofErr w:type="spellEnd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A.I. i </w:t>
      </w:r>
      <w:proofErr w:type="gramStart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</w:t>
      </w:r>
      <w:proofErr w:type="gramEnd"/>
      <w:r w:rsidR="00C75F53"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Sistemy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svobodnoradikal'nogo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okislenija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antioksidantnoj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zashity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kak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indikatory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aktivnosti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prolifer</w:t>
      </w:r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acii</w:t>
      </w:r>
      <w:proofErr w:type="spellEnd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kreatinocitov</w:t>
      </w:r>
      <w:proofErr w:type="spellEnd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</w:t>
      </w:r>
      <w:proofErr w:type="spellEnd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psoriaze</w:t>
      </w:r>
      <w:proofErr w:type="spellEnd"/>
      <w:r w:rsidR="00C7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Klinicheskaja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laboratornaja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diagnostika</w:t>
      </w:r>
      <w:proofErr w:type="spell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- 2010. </w:t>
      </w:r>
      <w:proofErr w:type="gramStart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№ 1.</w:t>
      </w:r>
      <w:proofErr w:type="gramEnd"/>
      <w:r w:rsidRPr="007D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S. 18-24</w:t>
      </w:r>
    </w:p>
    <w:p w:rsidR="007D2FA7" w:rsidRPr="00AE0EE1" w:rsidRDefault="007D2FA7" w:rsidP="007D2FA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>21.</w:t>
      </w: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15" w:history="1">
        <w:proofErr w:type="spellStart"/>
        <w:r w:rsidR="004412A6"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Parisi</w:t>
        </w:r>
        <w:proofErr w:type="spellEnd"/>
        <w:r w:rsidR="004412A6"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R</w:t>
        </w:r>
      </w:hyperlink>
      <w:r w:rsidR="004412A6" w:rsidRPr="00AE0E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12A6" w:rsidRPr="00AE0EE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4412A6" w:rsidRPr="00AE0EE1">
        <w:rPr>
          <w:rFonts w:ascii="Times New Roman" w:hAnsi="Times New Roman" w:cs="Times New Roman"/>
          <w:sz w:val="24"/>
          <w:szCs w:val="24"/>
        </w:rPr>
        <w:fldChar w:fldCharType="begin"/>
      </w:r>
      <w:r w:rsidR="004412A6" w:rsidRPr="00AE0EE1">
        <w:rPr>
          <w:rFonts w:ascii="Times New Roman" w:hAnsi="Times New Roman" w:cs="Times New Roman"/>
          <w:sz w:val="24"/>
          <w:szCs w:val="24"/>
          <w:lang w:val="en-US"/>
        </w:rPr>
        <w:instrText>HYPERLINK "http://www.ncbi.nlm.nih.gov/pubmed/?term=Symmons%20DP%5BAuthor%5D&amp;cauthor=true&amp;cauthor_uid=23014338"</w:instrText>
      </w:r>
      <w:r w:rsidR="004412A6" w:rsidRPr="00AE0EE1">
        <w:rPr>
          <w:rFonts w:ascii="Times New Roman" w:hAnsi="Times New Roman" w:cs="Times New Roman"/>
          <w:sz w:val="24"/>
          <w:szCs w:val="24"/>
        </w:rPr>
        <w:fldChar w:fldCharType="separate"/>
      </w:r>
      <w:r w:rsidR="004412A6" w:rsidRPr="00AE0E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Symmons</w:t>
      </w:r>
      <w:proofErr w:type="spellEnd"/>
      <w:r w:rsidR="004412A6" w:rsidRPr="00AE0E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DP</w:t>
      </w:r>
      <w:r w:rsidR="004412A6" w:rsidRPr="00AE0EE1">
        <w:rPr>
          <w:rFonts w:ascii="Times New Roman" w:hAnsi="Times New Roman" w:cs="Times New Roman"/>
          <w:sz w:val="24"/>
          <w:szCs w:val="24"/>
        </w:rPr>
        <w:fldChar w:fldCharType="end"/>
      </w:r>
      <w:r w:rsidR="004412A6" w:rsidRPr="00AE0E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12A6" w:rsidRPr="00AE0EE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6" w:history="1">
        <w:r w:rsidR="004412A6"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Griffiths CE</w:t>
        </w:r>
      </w:hyperlink>
      <w:r w:rsidR="004412A6" w:rsidRPr="00AE0E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12A6" w:rsidRPr="00AE0EE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7" w:history="1">
        <w:r w:rsidR="004412A6"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Ashcroft DM</w:t>
        </w:r>
      </w:hyperlink>
      <w:r w:rsidRPr="00AE0EE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AE0EE1">
        <w:rPr>
          <w:rFonts w:ascii="Times New Roman" w:hAnsi="Times New Roman" w:cs="Times New Roman"/>
          <w:sz w:val="24"/>
          <w:szCs w:val="24"/>
          <w:lang w:val="en-US"/>
        </w:rPr>
        <w:t>Global epidemiology of psoriasis: a systematic review of incidence and prevalence</w:t>
      </w:r>
      <w:r w:rsidRPr="00AE0E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0EE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8" w:history="1">
        <w:r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Identification and Management of Psoriasis and Associated </w:t>
        </w:r>
        <w:proofErr w:type="spellStart"/>
        <w:r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ComorbidiTy</w:t>
        </w:r>
        <w:proofErr w:type="spellEnd"/>
        <w:r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(IMPACT) project team</w:t>
        </w:r>
      </w:hyperlink>
      <w:r w:rsidRPr="00AE0EE1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hyperlink r:id="rId19" w:tooltip="The Journal of investigative dermatology." w:history="1">
        <w:r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J. Invest </w:t>
        </w:r>
        <w:proofErr w:type="spellStart"/>
        <w:r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Dermatol</w:t>
        </w:r>
        <w:proofErr w:type="spellEnd"/>
        <w:r w:rsidRPr="00AE0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AE0EE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E0EE1">
        <w:rPr>
          <w:rFonts w:ascii="Times New Roman" w:hAnsi="Times New Roman" w:cs="Times New Roman"/>
          <w:sz w:val="24"/>
          <w:szCs w:val="24"/>
          <w:lang w:val="en-US"/>
        </w:rPr>
        <w:t>2013 Feb</w:t>
      </w:r>
      <w:proofErr w:type="gramStart"/>
      <w:r w:rsidRPr="00AE0EE1">
        <w:rPr>
          <w:rFonts w:ascii="Times New Roman" w:hAnsi="Times New Roman" w:cs="Times New Roman"/>
          <w:sz w:val="24"/>
          <w:szCs w:val="24"/>
          <w:lang w:val="en-US"/>
        </w:rPr>
        <w:t>;133</w:t>
      </w:r>
      <w:proofErr w:type="gramEnd"/>
      <w:r w:rsidRPr="00AE0EE1">
        <w:rPr>
          <w:rFonts w:ascii="Times New Roman" w:hAnsi="Times New Roman" w:cs="Times New Roman"/>
          <w:sz w:val="24"/>
          <w:szCs w:val="24"/>
          <w:lang w:val="en-US"/>
        </w:rPr>
        <w:t>(2):377-85</w:t>
      </w:r>
      <w:r w:rsidRPr="00AE0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D2FA7" w:rsidRPr="00AE0EE1" w:rsidRDefault="007D2FA7" w:rsidP="007D2F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AE0EE1">
        <w:rPr>
          <w:rFonts w:ascii="Times New Roman" w:hAnsi="Times New Roman" w:cs="Times New Roman"/>
          <w:sz w:val="24"/>
          <w:szCs w:val="24"/>
          <w:lang w:val="en-US" w:eastAsia="uk-UA"/>
        </w:rPr>
        <w:t>22.</w:t>
      </w:r>
      <w:r w:rsidR="00AE0EE1" w:rsidRPr="00AE0EE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="00AE0EE1" w:rsidRPr="00AE0EE1">
        <w:rPr>
          <w:rFonts w:ascii="Times New Roman" w:hAnsi="Times New Roman" w:cs="Times New Roman"/>
          <w:sz w:val="24"/>
          <w:szCs w:val="24"/>
          <w:lang w:val="en-US" w:eastAsia="uk-UA"/>
        </w:rPr>
        <w:t>Skarda</w:t>
      </w:r>
      <w:proofErr w:type="spellEnd"/>
      <w:r w:rsidR="00AE0EE1" w:rsidRPr="00AE0EE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et al.  </w:t>
      </w:r>
      <w:proofErr w:type="gramStart"/>
      <w:r w:rsidRPr="00AE0EE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Modulation of myocardial energy metabolism with </w:t>
      </w:r>
      <w:proofErr w:type="spellStart"/>
      <w:r w:rsidRPr="00AE0EE1">
        <w:rPr>
          <w:rFonts w:ascii="Times New Roman" w:hAnsi="Times New Roman" w:cs="Times New Roman"/>
          <w:sz w:val="24"/>
          <w:szCs w:val="24"/>
          <w:lang w:val="en-US" w:eastAsia="uk-UA"/>
        </w:rPr>
        <w:t>Mildronate</w:t>
      </w:r>
      <w:proofErr w:type="spellEnd"/>
      <w:r w:rsidRPr="00AE0EE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– an effective approach in the treatment of chronic heart failure</w:t>
      </w:r>
      <w:r w:rsidR="00AE0EE1" w:rsidRPr="00AE0EE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proofErr w:type="gramEnd"/>
      <w:r w:rsidRPr="00AE0EE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// Proc. Latvian Acad. Sci. – 2011. – Vol. 55. – P. 73-79</w:t>
      </w:r>
    </w:p>
    <w:p w:rsidR="007D2FA7" w:rsidRPr="007D2FA7" w:rsidRDefault="007D2FA7" w:rsidP="007D2F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>23.</w:t>
      </w:r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>Kadam</w:t>
      </w:r>
      <w:proofErr w:type="spellEnd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D.P., </w:t>
      </w:r>
      <w:proofErr w:type="spellStart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>Suryakar</w:t>
      </w:r>
      <w:proofErr w:type="spellEnd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A.N., </w:t>
      </w:r>
      <w:proofErr w:type="spellStart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>Ankush</w:t>
      </w:r>
      <w:proofErr w:type="spellEnd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R.D., </w:t>
      </w:r>
      <w:proofErr w:type="spellStart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>Kadam</w:t>
      </w:r>
      <w:proofErr w:type="spellEnd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C.Y., </w:t>
      </w:r>
      <w:proofErr w:type="spellStart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>Deshpande</w:t>
      </w:r>
      <w:proofErr w:type="spellEnd"/>
      <w:r w:rsidR="003B3FBD"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K.H. </w:t>
      </w:r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Role of oxidative stress in various stages of psoriasis // Ind. J. </w:t>
      </w:r>
      <w:proofErr w:type="spellStart"/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>Clin</w:t>
      </w:r>
      <w:proofErr w:type="spellEnd"/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 </w:t>
      </w:r>
      <w:proofErr w:type="spellStart"/>
      <w:proofErr w:type="gramStart"/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>Biochem</w:t>
      </w:r>
      <w:proofErr w:type="spellEnd"/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  <w:proofErr w:type="gramEnd"/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– 2010. </w:t>
      </w:r>
      <w:r w:rsidR="00AE0EE1">
        <w:rPr>
          <w:rFonts w:ascii="Times New Roman" w:hAnsi="Times New Roman" w:cs="Times New Roman"/>
          <w:sz w:val="24"/>
          <w:szCs w:val="24"/>
          <w:lang w:val="en-US" w:eastAsia="uk-UA"/>
        </w:rPr>
        <w:t>–</w:t>
      </w:r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25(4). </w:t>
      </w:r>
      <w:r w:rsidR="00AE0EE1">
        <w:rPr>
          <w:rFonts w:ascii="Times New Roman" w:hAnsi="Times New Roman" w:cs="Times New Roman"/>
          <w:sz w:val="24"/>
          <w:szCs w:val="24"/>
          <w:lang w:val="en-US" w:eastAsia="uk-UA"/>
        </w:rPr>
        <w:t>–</w:t>
      </w:r>
      <w:r w:rsidRPr="007D2FA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P. 388-392</w:t>
      </w:r>
    </w:p>
    <w:p w:rsidR="007D2FA7" w:rsidRPr="001E51B8" w:rsidRDefault="007D2FA7" w:rsidP="007D2FA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>24.</w:t>
      </w:r>
      <w:r w:rsidRPr="001E51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B3FBD" w:rsidRPr="001E51B8">
        <w:rPr>
          <w:rFonts w:ascii="Times New Roman" w:hAnsi="Times New Roman" w:cs="Times New Roman"/>
          <w:sz w:val="24"/>
          <w:szCs w:val="24"/>
          <w:lang w:val="uk-UA"/>
        </w:rPr>
        <w:t>Heller</w:t>
      </w:r>
      <w:proofErr w:type="spellEnd"/>
      <w:r w:rsidR="003B3FBD"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3FBD" w:rsidRPr="001E51B8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3B3FBD"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3FBD" w:rsidRPr="001E51B8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="003B3F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3FBD"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Stress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Influencing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Factor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Modified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, 2011,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Sept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21.- U.S.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Library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E5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</w:p>
    <w:p w:rsidR="007D2FA7" w:rsidRPr="007D2FA7" w:rsidRDefault="007D2FA7" w:rsidP="007D2F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FA7" w:rsidRPr="007D2FA7" w:rsidRDefault="007D2FA7" w:rsidP="00CE3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2FA7" w:rsidRPr="007D2FA7" w:rsidSect="006D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08"/>
    <w:multiLevelType w:val="hybridMultilevel"/>
    <w:tmpl w:val="78D60F94"/>
    <w:lvl w:ilvl="0" w:tplc="036EF1A4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7FF"/>
    <w:rsid w:val="00013B69"/>
    <w:rsid w:val="000544B1"/>
    <w:rsid w:val="00067B5B"/>
    <w:rsid w:val="00073E04"/>
    <w:rsid w:val="001E51B8"/>
    <w:rsid w:val="00201935"/>
    <w:rsid w:val="00207E91"/>
    <w:rsid w:val="00275F6A"/>
    <w:rsid w:val="00285EB6"/>
    <w:rsid w:val="002978FA"/>
    <w:rsid w:val="002F2E6C"/>
    <w:rsid w:val="003565EB"/>
    <w:rsid w:val="003731C9"/>
    <w:rsid w:val="003868E2"/>
    <w:rsid w:val="003A66A0"/>
    <w:rsid w:val="003B327B"/>
    <w:rsid w:val="003B3FBD"/>
    <w:rsid w:val="003B53AA"/>
    <w:rsid w:val="003E5702"/>
    <w:rsid w:val="00404E44"/>
    <w:rsid w:val="004412A6"/>
    <w:rsid w:val="00465120"/>
    <w:rsid w:val="0049155F"/>
    <w:rsid w:val="00514264"/>
    <w:rsid w:val="00535DBD"/>
    <w:rsid w:val="00544788"/>
    <w:rsid w:val="00561434"/>
    <w:rsid w:val="005772BF"/>
    <w:rsid w:val="005A78CD"/>
    <w:rsid w:val="005C177F"/>
    <w:rsid w:val="005D2274"/>
    <w:rsid w:val="00610FF5"/>
    <w:rsid w:val="00622ED6"/>
    <w:rsid w:val="00632416"/>
    <w:rsid w:val="00633999"/>
    <w:rsid w:val="006A4BC8"/>
    <w:rsid w:val="006C3388"/>
    <w:rsid w:val="006D2963"/>
    <w:rsid w:val="006D4D39"/>
    <w:rsid w:val="006D76CD"/>
    <w:rsid w:val="00724A5D"/>
    <w:rsid w:val="00734DB1"/>
    <w:rsid w:val="007573EB"/>
    <w:rsid w:val="007B3D46"/>
    <w:rsid w:val="007D2FA7"/>
    <w:rsid w:val="0084035A"/>
    <w:rsid w:val="00864B6D"/>
    <w:rsid w:val="008A4CF2"/>
    <w:rsid w:val="008A54A9"/>
    <w:rsid w:val="008C22CD"/>
    <w:rsid w:val="008F101A"/>
    <w:rsid w:val="00905F2A"/>
    <w:rsid w:val="00915AE6"/>
    <w:rsid w:val="0092770A"/>
    <w:rsid w:val="00933E0F"/>
    <w:rsid w:val="0094157E"/>
    <w:rsid w:val="00992E2A"/>
    <w:rsid w:val="0099761A"/>
    <w:rsid w:val="00A21B9F"/>
    <w:rsid w:val="00A46D13"/>
    <w:rsid w:val="00A62597"/>
    <w:rsid w:val="00A802D2"/>
    <w:rsid w:val="00AA166E"/>
    <w:rsid w:val="00AE0EE1"/>
    <w:rsid w:val="00AE6A17"/>
    <w:rsid w:val="00B4417D"/>
    <w:rsid w:val="00B5220C"/>
    <w:rsid w:val="00B61842"/>
    <w:rsid w:val="00BE047A"/>
    <w:rsid w:val="00C53735"/>
    <w:rsid w:val="00C53F82"/>
    <w:rsid w:val="00C549E0"/>
    <w:rsid w:val="00C5761B"/>
    <w:rsid w:val="00C75F53"/>
    <w:rsid w:val="00CC4E6A"/>
    <w:rsid w:val="00CC5E4F"/>
    <w:rsid w:val="00CE3634"/>
    <w:rsid w:val="00DA0C68"/>
    <w:rsid w:val="00DD017F"/>
    <w:rsid w:val="00DD0760"/>
    <w:rsid w:val="00E04B30"/>
    <w:rsid w:val="00E34B6A"/>
    <w:rsid w:val="00E61325"/>
    <w:rsid w:val="00EB67B0"/>
    <w:rsid w:val="00F0146C"/>
    <w:rsid w:val="00F05A6C"/>
    <w:rsid w:val="00F061AC"/>
    <w:rsid w:val="00F317FF"/>
    <w:rsid w:val="00F42512"/>
    <w:rsid w:val="00F44EAC"/>
    <w:rsid w:val="00F57E54"/>
    <w:rsid w:val="00F67D07"/>
    <w:rsid w:val="00F80307"/>
    <w:rsid w:val="00F87073"/>
    <w:rsid w:val="00F904F5"/>
    <w:rsid w:val="00F917FA"/>
    <w:rsid w:val="00FA0C89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B67B0"/>
  </w:style>
  <w:style w:type="character" w:styleId="a3">
    <w:name w:val="Hyperlink"/>
    <w:basedOn w:val="a0"/>
    <w:uiPriority w:val="99"/>
    <w:unhideWhenUsed/>
    <w:rsid w:val="00201935"/>
    <w:rPr>
      <w:color w:val="0000FF" w:themeColor="hyperlink"/>
      <w:u w:val="single"/>
    </w:rPr>
  </w:style>
  <w:style w:type="character" w:customStyle="1" w:styleId="shorttext0">
    <w:name w:val="shorttext"/>
    <w:basedOn w:val="a0"/>
    <w:rsid w:val="00F904F5"/>
  </w:style>
  <w:style w:type="character" w:styleId="a4">
    <w:name w:val="Strong"/>
    <w:basedOn w:val="a0"/>
    <w:uiPriority w:val="22"/>
    <w:qFormat/>
    <w:rsid w:val="00F904F5"/>
    <w:rPr>
      <w:b/>
      <w:bCs/>
    </w:rPr>
  </w:style>
  <w:style w:type="paragraph" w:styleId="a5">
    <w:name w:val="List Paragraph"/>
    <w:basedOn w:val="a"/>
    <w:uiPriority w:val="34"/>
    <w:qFormat/>
    <w:rsid w:val="00F917FA"/>
    <w:pPr>
      <w:ind w:left="720"/>
      <w:contextualSpacing/>
    </w:pPr>
  </w:style>
  <w:style w:type="character" w:customStyle="1" w:styleId="apple-converted-space">
    <w:name w:val="apple-converted-space"/>
    <w:basedOn w:val="a0"/>
    <w:rsid w:val="00F917FA"/>
  </w:style>
  <w:style w:type="paragraph" w:styleId="a6">
    <w:name w:val="Balloon Text"/>
    <w:basedOn w:val="a"/>
    <w:link w:val="a7"/>
    <w:uiPriority w:val="99"/>
    <w:semiHidden/>
    <w:unhideWhenUsed/>
    <w:rsid w:val="005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788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F8707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D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ovaya78@mail.ru" TargetMode="External"/><Relationship Id="rId13" Type="http://schemas.openxmlformats.org/officeDocument/2006/relationships/hyperlink" Target="http://www.ncbi.nlm.nih.gov/pubmed/?term=Identification%20and%20Management%20of%20Psoriasis%20and%20Associated%20ComorbidiTy%20(IMPACT)%20project%20team%5BCorporate%20Author%5D" TargetMode="External"/><Relationship Id="rId18" Type="http://schemas.openxmlformats.org/officeDocument/2006/relationships/hyperlink" Target="http://www.ncbi.nlm.nih.gov/pubmed/?term=Identification%20and%20Management%20of%20Psoriasis%20and%20Associated%20ComorbidiTy%20(IMPACT)%20project%20team%5BCorporate%20Author%5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beregovaya78@mail.ru" TargetMode="External"/><Relationship Id="rId12" Type="http://schemas.openxmlformats.org/officeDocument/2006/relationships/hyperlink" Target="http://www.ncbi.nlm.nih.gov/pubmed/?term=Ashcroft%20DM%5BAuthor%5D&amp;cauthor=true&amp;cauthor_uid=23014338" TargetMode="External"/><Relationship Id="rId17" Type="http://schemas.openxmlformats.org/officeDocument/2006/relationships/hyperlink" Target="http://www.ncbi.nlm.nih.gov/pubmed/?term=Ashcroft%20DM%5BAuthor%5D&amp;cauthor=true&amp;cauthor_uid=23014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Griffiths%20CE%5BAuthor%5D&amp;cauthor=true&amp;cauthor_uid=230143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Griffiths%20CE%5BAuthor%5D&amp;cauthor=true&amp;cauthor_uid=230143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Parisi%20R%5BAuthor%5D&amp;cauthor=true&amp;cauthor_uid=23014338" TargetMode="External"/><Relationship Id="rId10" Type="http://schemas.openxmlformats.org/officeDocument/2006/relationships/hyperlink" Target="http://www.ncbi.nlm.nih.gov/pubmed/?term=Parisi%20R%5BAuthor%5D&amp;cauthor=true&amp;cauthor_uid=23014338" TargetMode="External"/><Relationship Id="rId19" Type="http://schemas.openxmlformats.org/officeDocument/2006/relationships/hyperlink" Target="http://www.ncbi.nlm.nih.gov/pubmed/23014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egovaya78@mail.ru" TargetMode="External"/><Relationship Id="rId14" Type="http://schemas.openxmlformats.org/officeDocument/2006/relationships/hyperlink" Target="http://www.ncbi.nlm.nih.gov/pubmed/23014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E9D4-352A-43D0-92EE-FCBF2CF8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Береговая</cp:lastModifiedBy>
  <cp:revision>21</cp:revision>
  <cp:lastPrinted>2016-05-30T19:39:00Z</cp:lastPrinted>
  <dcterms:created xsi:type="dcterms:W3CDTF">2016-06-14T23:39:00Z</dcterms:created>
  <dcterms:modified xsi:type="dcterms:W3CDTF">2016-09-27T09:20:00Z</dcterms:modified>
</cp:coreProperties>
</file>