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Рыбка Е.С., Чайченко Т.В.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Bold" w:hAnsi="Times New Roman"/>
          <w:b/>
          <w:bCs/>
          <w:sz w:val="28"/>
          <w:szCs w:val="28"/>
        </w:rPr>
      </w:pPr>
      <w:r w:rsidRPr="007216BB">
        <w:rPr>
          <w:rFonts w:ascii="Times New Roman" w:eastAsia="FreeSansBold" w:hAnsi="Times New Roman"/>
          <w:b/>
          <w:bCs/>
          <w:sz w:val="28"/>
          <w:szCs w:val="28"/>
        </w:rPr>
        <w:t>РЕАКЦИЯ СЕРДЕЧНО-СОСУДИСТОЙ СИСТЕМЫ ПОДРОСТКОВ С ОЖИРЕНИЕМ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Bold" w:hAnsi="Times New Roman"/>
          <w:b/>
          <w:bCs/>
          <w:sz w:val="28"/>
          <w:szCs w:val="28"/>
        </w:rPr>
      </w:pPr>
      <w:r w:rsidRPr="007216BB">
        <w:rPr>
          <w:rFonts w:ascii="Times New Roman" w:eastAsia="FreeSansBold" w:hAnsi="Times New Roman"/>
          <w:b/>
          <w:bCs/>
          <w:sz w:val="28"/>
          <w:szCs w:val="28"/>
        </w:rPr>
        <w:t>НА ДОЗИРОВАННУЮ ФИЗИЧЕСКУЮ НАГРУЗКУ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Харьковский национальный медицинский университет, Харьков, Украина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Кафедра педиатрии №1 и неонатологии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Oblique" w:hAnsi="Times New Roman"/>
          <w:i/>
          <w:iCs/>
          <w:sz w:val="28"/>
          <w:szCs w:val="28"/>
        </w:rPr>
      </w:pPr>
      <w:r w:rsidRPr="007216BB">
        <w:rPr>
          <w:rFonts w:ascii="Times New Roman" w:eastAsia="FreeSansOblique" w:hAnsi="Times New Roman"/>
          <w:i/>
          <w:iCs/>
          <w:sz w:val="28"/>
          <w:szCs w:val="28"/>
        </w:rPr>
        <w:t>(научный руководитель - д.мед.н. Чайченко Т.В.)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В условиях эпидемии ожирения, ассоциирующейся с развитием кардиоваскулярного риска в молодом трудоспособном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возрасте, оценка толерантности к сердечно-сосудистой системы подростков с ожирением принимает особую значимость.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Обследовано 45 подростков с ожирением в возрасте от 10 до 17 лет (58% мальчиков и 42% девочек, р = 0,16). Критерии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международной диабетической федерации (IDF) для діагностики метаболического синдрома у детей были использованы для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разделения на группы.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 w:rsidRPr="007216BB">
        <w:rPr>
          <w:rFonts w:ascii="Times New Roman" w:eastAsia="FreeSans" w:hAnsi="Times New Roman"/>
          <w:sz w:val="28"/>
          <w:szCs w:val="28"/>
        </w:rPr>
        <w:t xml:space="preserve">Уровень физической активности оценивали по </w:t>
      </w:r>
      <w:r>
        <w:rPr>
          <w:rFonts w:ascii="Times New Roman" w:eastAsia="FreeSans" w:hAnsi="Times New Roman"/>
          <w:sz w:val="28"/>
          <w:szCs w:val="28"/>
        </w:rPr>
        <w:t>рекомендаци</w:t>
      </w:r>
      <w:r w:rsidRPr="007216BB">
        <w:rPr>
          <w:rFonts w:ascii="Times New Roman" w:eastAsia="FreeSans" w:hAnsi="Times New Roman"/>
          <w:sz w:val="28"/>
          <w:szCs w:val="28"/>
        </w:rPr>
        <w:t>ям NHANES, 2014. Для оценки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 xml:space="preserve">толерантности сердечно-сосудистой системы к физическим загрузкам проведен тредмил-тест (протокол Bruce) c </w:t>
      </w:r>
      <w:r>
        <w:rPr>
          <w:rFonts w:ascii="Times New Roman" w:eastAsia="FreeSans" w:hAnsi="Times New Roman"/>
          <w:sz w:val="28"/>
          <w:szCs w:val="28"/>
        </w:rPr>
        <w:t>анали</w:t>
      </w:r>
      <w:r w:rsidRPr="007216BB">
        <w:rPr>
          <w:rFonts w:ascii="Times New Roman" w:eastAsia="FreeSans" w:hAnsi="Times New Roman"/>
          <w:sz w:val="28"/>
          <w:szCs w:val="28"/>
        </w:rPr>
        <w:t>зом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кард</w:t>
      </w:r>
      <w:r>
        <w:rPr>
          <w:rFonts w:ascii="Times New Roman" w:eastAsia="FreeSans" w:hAnsi="Times New Roman"/>
          <w:sz w:val="28"/>
          <w:szCs w:val="28"/>
        </w:rPr>
        <w:t>и</w:t>
      </w:r>
      <w:r w:rsidRPr="007216BB">
        <w:rPr>
          <w:rFonts w:ascii="Times New Roman" w:eastAsia="FreeSans" w:hAnsi="Times New Roman"/>
          <w:sz w:val="28"/>
          <w:szCs w:val="28"/>
        </w:rPr>
        <w:t>оваскулярных параметров до и после нагрузки, а также в периоде восстановления. В качестве маркера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кардиореспираторной тренированности использовали максимальное потребление кислорода, рассчитанное по формуле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ACSM. Стандартные статистические методы использовались для анализа результатов.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Уровень физической активности всех обследованных подростков был достаточно низким без достоверной разницы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между группами (р=0,094). Анализ кардиоваскулярных показателей в покое показал, что исходная ЧСС входила в диапазон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10-90 перцентиля достоверно вероятнее у MHOvs. MUO (р=0,02). Нормальные исходные показатели САД имеют 88%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метаболически здоровых против 46,96% МНО (р=0,0062), ДАД - 96% МЗО и 38,47% МНО (р=0,0001). На пике нагрузки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регистрировался преимущественно хронотропный ответ у метаболически здоровых и преимущественно инотропный ответ (за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счет САД) у метаболически нездоровых подростков с ожирением. Максимальная ЧСС была ниже расчетной (Chi-Square =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767,8897; P = 0,0000001) за счет достоверно более низких показателей у метаболически нездоровых подростков с ожирением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(р=0,0002).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Метаболически здоровые лица переносили более длительную нагрузку (р=0,026), с более высоким максимально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достигнутым углом поднятия ленты (р=0,011) и более высокое потребление кислорода (р=0,049). В восстановительном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периоде у МНО восстановление ЧСС достоверно (р=0,02) более длительное. По данным корреляционного анализа (по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Спирману) уровень потребления кислорода в ходе эпизода физической нагрузки имеет достоверную отрицательную связь с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индексом массы тела (р = -0,75), соотношением окружности талии к росту (р= -0,58), тощаковыми концентрациями инсулина (р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= -0,53), триглицеридов (р = -0,40), а также исходными уровнями систолического (р= -0,44), диастолического (р= - 0,39)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артериального давления и ЧСС (р = -0,41).</w:t>
      </w:r>
    </w:p>
    <w:p w:rsidR="0012125C" w:rsidRPr="007216BB" w:rsidRDefault="0012125C" w:rsidP="007216BB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Выводы: Реакция сердечно-сосудистой системы подростков с ожирением на дозированную физическую нагрузку зависит</w:t>
      </w:r>
    </w:p>
    <w:p w:rsidR="0012125C" w:rsidRPr="002254D0" w:rsidRDefault="0012125C" w:rsidP="002254D0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/>
          <w:sz w:val="28"/>
          <w:szCs w:val="28"/>
        </w:rPr>
      </w:pPr>
      <w:r w:rsidRPr="007216BB">
        <w:rPr>
          <w:rFonts w:ascii="Times New Roman" w:eastAsia="FreeSans" w:hAnsi="Times New Roman"/>
          <w:sz w:val="28"/>
          <w:szCs w:val="28"/>
        </w:rPr>
        <w:t>от метаболического статуса является потенциально неблагоприятной в отношении потенциального возникновения острых</w:t>
      </w:r>
      <w:r>
        <w:rPr>
          <w:rFonts w:ascii="Times New Roman" w:eastAsia="FreeSans" w:hAnsi="Times New Roman"/>
          <w:sz w:val="28"/>
          <w:szCs w:val="28"/>
        </w:rPr>
        <w:t xml:space="preserve"> </w:t>
      </w:r>
      <w:r w:rsidRPr="007216BB">
        <w:rPr>
          <w:rFonts w:ascii="Times New Roman" w:eastAsia="FreeSans" w:hAnsi="Times New Roman"/>
          <w:sz w:val="28"/>
          <w:szCs w:val="28"/>
        </w:rPr>
        <w:t>кардиоваскулярных событий</w:t>
      </w:r>
      <w:r>
        <w:rPr>
          <w:rFonts w:ascii="Times New Roman" w:eastAsia="FreeSans" w:hAnsi="Times New Roman"/>
          <w:sz w:val="28"/>
          <w:szCs w:val="28"/>
        </w:rPr>
        <w:t>.</w:t>
      </w:r>
    </w:p>
    <w:sectPr w:rsidR="0012125C" w:rsidRPr="002254D0" w:rsidSect="003C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6BB"/>
    <w:rsid w:val="00053E9B"/>
    <w:rsid w:val="0012125C"/>
    <w:rsid w:val="001E6AF9"/>
    <w:rsid w:val="002254D0"/>
    <w:rsid w:val="003C0D4D"/>
    <w:rsid w:val="00684B17"/>
    <w:rsid w:val="007216BB"/>
    <w:rsid w:val="0085558E"/>
    <w:rsid w:val="00BD2DDD"/>
    <w:rsid w:val="00C517FD"/>
    <w:rsid w:val="00D66E84"/>
    <w:rsid w:val="00F0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4B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Название: </dc:title>
  <dc:subject/>
  <dc:creator>Умочка</dc:creator>
  <cp:keywords/>
  <dc:description/>
  <cp:lastModifiedBy>SAna_ok</cp:lastModifiedBy>
  <cp:revision>2</cp:revision>
  <dcterms:created xsi:type="dcterms:W3CDTF">2016-09-04T10:35:00Z</dcterms:created>
  <dcterms:modified xsi:type="dcterms:W3CDTF">2016-09-04T10:35:00Z</dcterms:modified>
</cp:coreProperties>
</file>