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BA" w:rsidRPr="005C4A0C" w:rsidRDefault="007947DC" w:rsidP="005C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4A0C">
        <w:rPr>
          <w:rFonts w:ascii="Times New Roman" w:hAnsi="Times New Roman" w:cs="Times New Roman"/>
          <w:b/>
          <w:sz w:val="24"/>
          <w:szCs w:val="24"/>
          <w:lang w:val="uk-UA"/>
        </w:rPr>
        <w:t>Клініко-діагностичні та лікувальні аспекти хронічних порушень мозкового кровообігу.</w:t>
      </w:r>
    </w:p>
    <w:p w:rsidR="00703405" w:rsidRPr="005C4A0C" w:rsidRDefault="007947DC" w:rsidP="005C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Григорова І.А., </w:t>
      </w:r>
      <w:r w:rsidR="00755627"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Григоров </w:t>
      </w:r>
      <w:r w:rsidRPr="005C4A0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55627"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.М., </w:t>
      </w:r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Тесленко О.О., </w:t>
      </w:r>
      <w:proofErr w:type="spellStart"/>
      <w:r w:rsidR="00755627" w:rsidRPr="005C4A0C">
        <w:rPr>
          <w:rFonts w:ascii="Times New Roman" w:hAnsi="Times New Roman" w:cs="Times New Roman"/>
          <w:sz w:val="24"/>
          <w:szCs w:val="24"/>
          <w:lang w:val="uk-UA"/>
        </w:rPr>
        <w:t>Копітько</w:t>
      </w:r>
      <w:proofErr w:type="spellEnd"/>
      <w:r w:rsidR="00755627"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478E" w:rsidRPr="005C4A0C">
        <w:rPr>
          <w:rFonts w:ascii="Times New Roman" w:hAnsi="Times New Roman" w:cs="Times New Roman"/>
          <w:sz w:val="24"/>
          <w:szCs w:val="24"/>
          <w:lang w:val="uk-UA"/>
        </w:rPr>
        <w:t>Ж.В.</w:t>
      </w:r>
    </w:p>
    <w:p w:rsidR="00755627" w:rsidRPr="005C4A0C" w:rsidRDefault="00703405" w:rsidP="005C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C4A0C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університет, м.</w:t>
      </w:r>
      <w:r w:rsidR="005C4A0C" w:rsidRPr="005C4A0C">
        <w:rPr>
          <w:rFonts w:ascii="Times New Roman" w:hAnsi="Times New Roman" w:cs="Times New Roman"/>
          <w:sz w:val="24"/>
          <w:szCs w:val="24"/>
        </w:rPr>
        <w:t xml:space="preserve"> </w:t>
      </w:r>
      <w:r w:rsidRPr="005C4A0C">
        <w:rPr>
          <w:rFonts w:ascii="Times New Roman" w:hAnsi="Times New Roman" w:cs="Times New Roman"/>
          <w:sz w:val="24"/>
          <w:szCs w:val="24"/>
          <w:lang w:val="uk-UA"/>
        </w:rPr>
        <w:t>Харків</w:t>
      </w:r>
    </w:p>
    <w:p w:rsidR="00801200" w:rsidRPr="005C4A0C" w:rsidRDefault="00801200" w:rsidP="005C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14CE" w:rsidRPr="005C4A0C" w:rsidRDefault="007947DC" w:rsidP="00D17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Хронічні </w:t>
      </w:r>
      <w:r w:rsidR="009D558C"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порушення мозкового кровообігу -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дисциркуляторна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енцефалопатія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D558C" w:rsidRPr="005C4A0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ДЕ) є однією з сучасних проблем неврології та сімейної медицини, оскільки вона призводить до втрати працездатності і зменшує якість життя. Нами спостерігалися 300 хворих на ДЕ І та ІІ стадії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атеросклеторичного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ґенезу та після перенесених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кардіогенних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інсультів легкої та середньої ступені важкості. При І стадії ДЕ превалював неврастенічний синдром, а при ІІ стадії спостерігали вогнищеві неврологічні синдроми та когнітивні</w:t>
      </w:r>
      <w:bookmarkStart w:id="0" w:name="_GoBack"/>
      <w:bookmarkEnd w:id="0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розлади (порушення уваги, орієнтації,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памʹяті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), що виявляли за допомогою шкал </w:t>
      </w:r>
      <w:r w:rsidRPr="005C4A0C">
        <w:rPr>
          <w:rFonts w:ascii="Times New Roman" w:hAnsi="Times New Roman" w:cs="Times New Roman"/>
          <w:sz w:val="24"/>
          <w:szCs w:val="24"/>
          <w:lang w:val="en-US"/>
        </w:rPr>
        <w:t>MMSE</w:t>
      </w:r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Моса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. У всіх хворих мало місце порушення серцевого ритму. Інструментальні обстеження проводили згідно </w:t>
      </w:r>
      <w:r w:rsidR="009D558C"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до клінічного </w:t>
      </w:r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протоколу. Нами також було виявлено зниження когнітивного викликаного потенціалу Р300, та атрофія лобових </w:t>
      </w:r>
      <w:r w:rsidR="009D558C" w:rsidRPr="005C4A0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скроневих ділянок кори мозку.</w:t>
      </w:r>
    </w:p>
    <w:p w:rsidR="007947DC" w:rsidRPr="005C4A0C" w:rsidRDefault="0005378F" w:rsidP="00D17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В якості лікувальних заходів нами застосувались препарати, що поліпшували метаболізм та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нейропластичність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мозк</w:t>
      </w:r>
      <w:r w:rsidR="009D558C"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ової тканини у поєднанні з </w:t>
      </w:r>
      <w:proofErr w:type="spellStart"/>
      <w:r w:rsidR="009D558C" w:rsidRPr="005C4A0C">
        <w:rPr>
          <w:rFonts w:ascii="Times New Roman" w:hAnsi="Times New Roman" w:cs="Times New Roman"/>
          <w:sz w:val="24"/>
          <w:szCs w:val="24"/>
          <w:lang w:val="uk-UA"/>
        </w:rPr>
        <w:t>анти</w:t>
      </w:r>
      <w:r w:rsidRPr="005C4A0C">
        <w:rPr>
          <w:rFonts w:ascii="Times New Roman" w:hAnsi="Times New Roman" w:cs="Times New Roman"/>
          <w:sz w:val="24"/>
          <w:szCs w:val="24"/>
          <w:lang w:val="uk-UA"/>
        </w:rPr>
        <w:t>аритмічними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засобами,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антиагригантами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 та антикоагулянтами (після операцій на серці). Позитивно впливали на когнітивні функції препарати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цитиколіну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мілдронату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гліатіліну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та поліпептидні препарати (що покращували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нейротрофіку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ендотеліальну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дисфункцію</w:t>
      </w:r>
      <w:proofErr w:type="spellEnd"/>
      <w:r w:rsidR="009D558C" w:rsidRPr="005C4A0C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агоністи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4A0C">
        <w:rPr>
          <w:rFonts w:ascii="Times New Roman" w:hAnsi="Times New Roman" w:cs="Times New Roman"/>
          <w:sz w:val="24"/>
          <w:szCs w:val="24"/>
          <w:lang w:val="en-US"/>
        </w:rPr>
        <w:t>NMDA</w:t>
      </w:r>
      <w:r w:rsidR="009D558C"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– рецепторів;</w:t>
      </w:r>
      <w:r w:rsidR="00CD075C"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засоби, що поліпшували мозковий кров</w:t>
      </w:r>
      <w:r w:rsidR="009D558C" w:rsidRPr="005C4A0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D075C" w:rsidRPr="005C4A0C">
        <w:rPr>
          <w:rFonts w:ascii="Times New Roman" w:hAnsi="Times New Roman" w:cs="Times New Roman"/>
          <w:sz w:val="24"/>
          <w:szCs w:val="24"/>
          <w:lang w:val="uk-UA"/>
        </w:rPr>
        <w:t>обіг</w:t>
      </w:r>
      <w:r w:rsidR="009D558C"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CD075C" w:rsidRPr="005C4A0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D558C"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тлі</w:t>
      </w:r>
      <w:r w:rsidR="00CD075C"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доцільн</w:t>
      </w:r>
      <w:r w:rsidR="009D558C" w:rsidRPr="005C4A0C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CD075C"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</w:t>
      </w:r>
      <w:r w:rsidR="009D558C" w:rsidRPr="005C4A0C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CD075C"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симптоматичн</w:t>
      </w:r>
      <w:r w:rsidR="009D558C" w:rsidRPr="005C4A0C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CD075C"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терапі</w:t>
      </w:r>
      <w:r w:rsidR="009D558C" w:rsidRPr="005C4A0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CD075C" w:rsidRPr="005C4A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1200" w:rsidRPr="005C4A0C" w:rsidRDefault="00801200" w:rsidP="00D1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3EEA" w:rsidRPr="005C4A0C" w:rsidRDefault="009D3EEA" w:rsidP="00D1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A0C">
        <w:rPr>
          <w:rFonts w:ascii="Times New Roman" w:hAnsi="Times New Roman" w:cs="Times New Roman"/>
          <w:sz w:val="24"/>
          <w:szCs w:val="24"/>
          <w:lang w:val="uk-UA"/>
        </w:rPr>
        <w:t>Рекомендована література:</w:t>
      </w:r>
    </w:p>
    <w:p w:rsidR="007834F6" w:rsidRPr="005C4A0C" w:rsidRDefault="007834F6" w:rsidP="00D17A7F">
      <w:pPr>
        <w:numPr>
          <w:ilvl w:val="0"/>
          <w:numId w:val="4"/>
        </w:numPr>
        <w:spacing w:after="0" w:line="240" w:lineRule="auto"/>
        <w:ind w:right="75"/>
        <w:textAlignment w:val="baseline"/>
        <w:rPr>
          <w:rFonts w:ascii="Times New Roman" w:hAnsi="Times New Roman"/>
          <w:sz w:val="24"/>
          <w:szCs w:val="24"/>
        </w:rPr>
      </w:pPr>
      <w:r w:rsidRPr="005C4A0C">
        <w:rPr>
          <w:rFonts w:ascii="Times New Roman" w:hAnsi="Times New Roman"/>
          <w:sz w:val="24"/>
          <w:szCs w:val="24"/>
        </w:rPr>
        <w:t xml:space="preserve">Москаленко В. Ф., Волошин П. В., Петрошенко П. Р. </w:t>
      </w:r>
      <w:proofErr w:type="spellStart"/>
      <w:r w:rsidRPr="005C4A0C">
        <w:rPr>
          <w:rFonts w:ascii="Times New Roman" w:hAnsi="Times New Roman"/>
          <w:sz w:val="24"/>
          <w:szCs w:val="24"/>
        </w:rPr>
        <w:t>Стратегія</w:t>
      </w:r>
      <w:proofErr w:type="spellEnd"/>
      <w:r w:rsidRPr="005C4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A0C">
        <w:rPr>
          <w:rFonts w:ascii="Times New Roman" w:hAnsi="Times New Roman"/>
          <w:sz w:val="24"/>
          <w:szCs w:val="24"/>
        </w:rPr>
        <w:t>боротьби</w:t>
      </w:r>
      <w:proofErr w:type="spellEnd"/>
      <w:r w:rsidRPr="005C4A0C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5C4A0C">
        <w:rPr>
          <w:rFonts w:ascii="Times New Roman" w:hAnsi="Times New Roman"/>
          <w:sz w:val="24"/>
          <w:szCs w:val="24"/>
        </w:rPr>
        <w:t>судинними</w:t>
      </w:r>
      <w:proofErr w:type="spellEnd"/>
      <w:r w:rsidRPr="005C4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A0C">
        <w:rPr>
          <w:rFonts w:ascii="Times New Roman" w:hAnsi="Times New Roman"/>
          <w:sz w:val="24"/>
          <w:szCs w:val="24"/>
        </w:rPr>
        <w:t>захворюваннями</w:t>
      </w:r>
      <w:proofErr w:type="spellEnd"/>
      <w:r w:rsidRPr="005C4A0C">
        <w:rPr>
          <w:rFonts w:ascii="Times New Roman" w:hAnsi="Times New Roman"/>
          <w:sz w:val="24"/>
          <w:szCs w:val="24"/>
        </w:rPr>
        <w:t xml:space="preserve"> головного </w:t>
      </w:r>
      <w:proofErr w:type="spellStart"/>
      <w:r w:rsidRPr="005C4A0C">
        <w:rPr>
          <w:rFonts w:ascii="Times New Roman" w:hAnsi="Times New Roman"/>
          <w:sz w:val="24"/>
          <w:szCs w:val="24"/>
        </w:rPr>
        <w:t>мозку</w:t>
      </w:r>
      <w:proofErr w:type="spellEnd"/>
      <w:r w:rsidRPr="005C4A0C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5C4A0C">
        <w:rPr>
          <w:rFonts w:ascii="Times New Roman" w:hAnsi="Times New Roman"/>
          <w:sz w:val="24"/>
          <w:szCs w:val="24"/>
        </w:rPr>
        <w:t>Український</w:t>
      </w:r>
      <w:proofErr w:type="spellEnd"/>
      <w:r w:rsidRPr="005C4A0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C4A0C">
        <w:rPr>
          <w:rFonts w:ascii="Times New Roman" w:hAnsi="Times New Roman"/>
          <w:sz w:val="24"/>
          <w:szCs w:val="24"/>
        </w:rPr>
        <w:t>в</w:t>
      </w:r>
      <w:proofErr w:type="gramEnd"/>
      <w:r w:rsidRPr="005C4A0C">
        <w:rPr>
          <w:rFonts w:ascii="Times New Roman" w:hAnsi="Times New Roman"/>
          <w:sz w:val="24"/>
          <w:szCs w:val="24"/>
        </w:rPr>
        <w:t>існик</w:t>
      </w:r>
      <w:proofErr w:type="spellEnd"/>
      <w:r w:rsidRPr="005C4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A0C">
        <w:rPr>
          <w:rFonts w:ascii="Times New Roman" w:hAnsi="Times New Roman"/>
          <w:sz w:val="24"/>
          <w:szCs w:val="24"/>
        </w:rPr>
        <w:t>психоневрології</w:t>
      </w:r>
      <w:proofErr w:type="spellEnd"/>
      <w:r w:rsidRPr="005C4A0C">
        <w:rPr>
          <w:rFonts w:ascii="Times New Roman" w:hAnsi="Times New Roman"/>
          <w:sz w:val="24"/>
          <w:szCs w:val="24"/>
        </w:rPr>
        <w:t xml:space="preserve">. – 2001. – Т. 9, </w:t>
      </w:r>
      <w:proofErr w:type="spellStart"/>
      <w:r w:rsidRPr="005C4A0C">
        <w:rPr>
          <w:rFonts w:ascii="Times New Roman" w:hAnsi="Times New Roman"/>
          <w:sz w:val="24"/>
          <w:szCs w:val="24"/>
        </w:rPr>
        <w:t>вип</w:t>
      </w:r>
      <w:proofErr w:type="spellEnd"/>
      <w:r w:rsidRPr="005C4A0C">
        <w:rPr>
          <w:rFonts w:ascii="Times New Roman" w:hAnsi="Times New Roman"/>
          <w:sz w:val="24"/>
          <w:szCs w:val="24"/>
        </w:rPr>
        <w:t>. 1 (26). – С. 5–7.</w:t>
      </w:r>
    </w:p>
    <w:p w:rsidR="007834F6" w:rsidRPr="005C4A0C" w:rsidRDefault="007834F6" w:rsidP="00D17A7F">
      <w:pPr>
        <w:numPr>
          <w:ilvl w:val="0"/>
          <w:numId w:val="4"/>
        </w:numPr>
        <w:spacing w:after="0" w:line="240" w:lineRule="auto"/>
        <w:ind w:right="75"/>
        <w:textAlignment w:val="baseline"/>
        <w:rPr>
          <w:rFonts w:ascii="Times New Roman" w:hAnsi="Times New Roman"/>
          <w:sz w:val="24"/>
          <w:szCs w:val="24"/>
        </w:rPr>
      </w:pPr>
      <w:r w:rsidRPr="005C4A0C">
        <w:rPr>
          <w:rFonts w:ascii="Times New Roman" w:hAnsi="Times New Roman"/>
          <w:sz w:val="24"/>
          <w:szCs w:val="24"/>
        </w:rPr>
        <w:t xml:space="preserve">Мищенко В.Н. К вопросу об эффективности препарата </w:t>
      </w:r>
      <w:proofErr w:type="spellStart"/>
      <w:r w:rsidRPr="005C4A0C">
        <w:rPr>
          <w:rFonts w:ascii="Times New Roman" w:hAnsi="Times New Roman"/>
          <w:sz w:val="24"/>
          <w:szCs w:val="24"/>
        </w:rPr>
        <w:t>церебролизин</w:t>
      </w:r>
      <w:proofErr w:type="spellEnd"/>
      <w:r w:rsidRPr="005C4A0C">
        <w:rPr>
          <w:rFonts w:ascii="Times New Roman" w:hAnsi="Times New Roman"/>
          <w:sz w:val="24"/>
          <w:szCs w:val="24"/>
        </w:rPr>
        <w:t xml:space="preserve"> у больных с «немыми» инфарктами мозга. Международный неврологический журнал: №3(73) – 2015.- с.15-19.</w:t>
      </w:r>
    </w:p>
    <w:p w:rsidR="007834F6" w:rsidRPr="005C4A0C" w:rsidRDefault="007834F6" w:rsidP="00D17A7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C4A0C">
        <w:rPr>
          <w:rFonts w:ascii="Times New Roman" w:hAnsi="Times New Roman"/>
          <w:bCs/>
          <w:kern w:val="36"/>
          <w:sz w:val="24"/>
          <w:szCs w:val="24"/>
        </w:rPr>
        <w:t xml:space="preserve">Григорова И.А., Тесленко О.А. Хронические нарушения мозгового кровообращения // </w:t>
      </w:r>
      <w:r w:rsidRPr="005C4A0C">
        <w:rPr>
          <w:rFonts w:ascii="Times New Roman" w:hAnsi="Times New Roman"/>
          <w:bCs/>
          <w:kern w:val="36"/>
          <w:sz w:val="24"/>
          <w:szCs w:val="24"/>
          <w:lang w:val="uk-UA"/>
        </w:rPr>
        <w:t>Здоров’я України (медична газета) №8(309), квітень 2013.-с.44-45.</w:t>
      </w:r>
    </w:p>
    <w:p w:rsidR="007834F6" w:rsidRPr="005C4A0C" w:rsidRDefault="007834F6" w:rsidP="00D17A7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C4A0C">
        <w:rPr>
          <w:rFonts w:ascii="Times New Roman" w:hAnsi="Times New Roman"/>
          <w:bCs/>
          <w:kern w:val="36"/>
          <w:sz w:val="24"/>
          <w:szCs w:val="24"/>
          <w:lang w:val="uk-UA"/>
        </w:rPr>
        <w:t xml:space="preserve"> </w:t>
      </w:r>
      <w:r w:rsidRPr="005C4A0C">
        <w:rPr>
          <w:rFonts w:ascii="Times New Roman" w:hAnsi="Times New Roman"/>
          <w:bCs/>
          <w:kern w:val="36"/>
          <w:sz w:val="24"/>
          <w:szCs w:val="24"/>
        </w:rPr>
        <w:t>Григорова И.А., Тесленко О.А.</w:t>
      </w:r>
      <w:r w:rsidR="009C4F3F" w:rsidRPr="005C4A0C">
        <w:rPr>
          <w:rFonts w:ascii="Times New Roman" w:hAnsi="Times New Roman"/>
          <w:bCs/>
          <w:kern w:val="36"/>
          <w:sz w:val="24"/>
          <w:szCs w:val="24"/>
          <w:lang w:val="uk-UA"/>
        </w:rPr>
        <w:t xml:space="preserve">, Григорова А.А. </w:t>
      </w:r>
      <w:proofErr w:type="spellStart"/>
      <w:r w:rsidRPr="005C4A0C">
        <w:rPr>
          <w:rFonts w:ascii="Times New Roman" w:hAnsi="Times New Roman"/>
          <w:bCs/>
          <w:kern w:val="36"/>
          <w:sz w:val="24"/>
          <w:szCs w:val="24"/>
          <w:lang w:val="uk-UA"/>
        </w:rPr>
        <w:t>Современные</w:t>
      </w:r>
      <w:proofErr w:type="spellEnd"/>
      <w:r w:rsidRPr="005C4A0C">
        <w:rPr>
          <w:rFonts w:ascii="Times New Roman" w:hAnsi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5C4A0C">
        <w:rPr>
          <w:rFonts w:ascii="Times New Roman" w:hAnsi="Times New Roman"/>
          <w:bCs/>
          <w:kern w:val="36"/>
          <w:sz w:val="24"/>
          <w:szCs w:val="24"/>
          <w:lang w:val="uk-UA"/>
        </w:rPr>
        <w:t>подход</w:t>
      </w:r>
      <w:proofErr w:type="spellEnd"/>
      <w:r w:rsidRPr="005C4A0C">
        <w:rPr>
          <w:rFonts w:ascii="Times New Roman" w:hAnsi="Times New Roman"/>
          <w:bCs/>
          <w:kern w:val="36"/>
          <w:sz w:val="24"/>
          <w:szCs w:val="24"/>
        </w:rPr>
        <w:t>ы</w:t>
      </w:r>
      <w:r w:rsidRPr="005C4A0C">
        <w:rPr>
          <w:rFonts w:ascii="Times New Roman" w:hAnsi="Times New Roman"/>
          <w:bCs/>
          <w:kern w:val="36"/>
          <w:sz w:val="24"/>
          <w:szCs w:val="24"/>
          <w:lang w:val="uk-UA"/>
        </w:rPr>
        <w:t xml:space="preserve"> к </w:t>
      </w:r>
      <w:proofErr w:type="spellStart"/>
      <w:r w:rsidRPr="005C4A0C">
        <w:rPr>
          <w:rFonts w:ascii="Times New Roman" w:hAnsi="Times New Roman"/>
          <w:bCs/>
          <w:kern w:val="36"/>
          <w:sz w:val="24"/>
          <w:szCs w:val="24"/>
          <w:lang w:val="uk-UA"/>
        </w:rPr>
        <w:t>терапии</w:t>
      </w:r>
      <w:proofErr w:type="spellEnd"/>
      <w:r w:rsidRPr="005C4A0C">
        <w:rPr>
          <w:rFonts w:ascii="Times New Roman" w:hAnsi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5C4A0C">
        <w:rPr>
          <w:rFonts w:ascii="Times New Roman" w:hAnsi="Times New Roman"/>
          <w:bCs/>
          <w:kern w:val="36"/>
          <w:sz w:val="24"/>
          <w:szCs w:val="24"/>
          <w:lang w:val="uk-UA"/>
        </w:rPr>
        <w:t>хронических</w:t>
      </w:r>
      <w:proofErr w:type="spellEnd"/>
      <w:r w:rsidRPr="005C4A0C">
        <w:rPr>
          <w:rFonts w:ascii="Times New Roman" w:hAnsi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5C4A0C">
        <w:rPr>
          <w:rFonts w:ascii="Times New Roman" w:hAnsi="Times New Roman"/>
          <w:bCs/>
          <w:kern w:val="36"/>
          <w:sz w:val="24"/>
          <w:szCs w:val="24"/>
          <w:lang w:val="uk-UA"/>
        </w:rPr>
        <w:t>ишемических</w:t>
      </w:r>
      <w:proofErr w:type="spellEnd"/>
      <w:r w:rsidRPr="005C4A0C">
        <w:rPr>
          <w:rFonts w:ascii="Times New Roman" w:hAnsi="Times New Roman"/>
          <w:bCs/>
          <w:kern w:val="36"/>
          <w:sz w:val="24"/>
          <w:szCs w:val="24"/>
          <w:lang w:val="uk-UA"/>
        </w:rPr>
        <w:t xml:space="preserve"> нарушений головного мезга. // Український неврологічний журнал №2(35)-2015.-с.100-107.</w:t>
      </w:r>
    </w:p>
    <w:p w:rsidR="00CD075C" w:rsidRPr="005C4A0C" w:rsidRDefault="00F27749" w:rsidP="00D17A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A0C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="00CD075C" w:rsidRPr="005C4A0C">
        <w:rPr>
          <w:rFonts w:ascii="Times New Roman" w:hAnsi="Times New Roman" w:cs="Times New Roman"/>
          <w:sz w:val="24"/>
          <w:szCs w:val="24"/>
        </w:rPr>
        <w:t>ригорова</w:t>
      </w:r>
      <w:proofErr w:type="spellEnd"/>
      <w:r w:rsidR="00CD075C" w:rsidRPr="005C4A0C">
        <w:rPr>
          <w:rFonts w:ascii="Times New Roman" w:hAnsi="Times New Roman" w:cs="Times New Roman"/>
          <w:sz w:val="24"/>
          <w:szCs w:val="24"/>
        </w:rPr>
        <w:t xml:space="preserve"> </w:t>
      </w:r>
      <w:r w:rsidR="00CD075C"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І.А. </w:t>
      </w:r>
      <w:r w:rsidR="00CD075C" w:rsidRPr="005C4A0C">
        <w:rPr>
          <w:rFonts w:ascii="Times New Roman" w:hAnsi="Times New Roman" w:cs="Times New Roman"/>
          <w:sz w:val="24"/>
          <w:szCs w:val="24"/>
        </w:rPr>
        <w:t xml:space="preserve">Клинико-патогенетические </w:t>
      </w:r>
      <w:proofErr w:type="spellStart"/>
      <w:r w:rsidR="00CD075C" w:rsidRPr="005C4A0C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="00CD075C" w:rsidRPr="005C4A0C">
        <w:rPr>
          <w:rFonts w:ascii="Times New Roman" w:hAnsi="Times New Roman" w:cs="Times New Roman"/>
          <w:sz w:val="24"/>
          <w:szCs w:val="24"/>
        </w:rPr>
        <w:t xml:space="preserve"> хронических нарушений мозгового кровообращения. //</w:t>
      </w:r>
      <w:r w:rsidR="00CD075C"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Український </w:t>
      </w:r>
      <w:proofErr w:type="gramStart"/>
      <w:r w:rsidR="00CD075C" w:rsidRPr="005C4A0C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CD075C" w:rsidRPr="005C4A0C">
        <w:rPr>
          <w:rFonts w:ascii="Times New Roman" w:hAnsi="Times New Roman" w:cs="Times New Roman"/>
          <w:sz w:val="24"/>
          <w:szCs w:val="24"/>
          <w:lang w:val="uk-UA"/>
        </w:rPr>
        <w:t>існик психоневрології. – Т.23, вип.. 3(84). – 2015. – С. 122-123.</w:t>
      </w:r>
    </w:p>
    <w:p w:rsidR="00F27749" w:rsidRPr="005C4A0C" w:rsidRDefault="00CD075C" w:rsidP="00D17A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A0C">
        <w:rPr>
          <w:rFonts w:ascii="Times New Roman" w:hAnsi="Times New Roman" w:cs="Times New Roman"/>
          <w:sz w:val="24"/>
          <w:szCs w:val="24"/>
        </w:rPr>
        <w:t xml:space="preserve">Кадыков А.С., Манвелов Л.С., </w:t>
      </w:r>
      <w:proofErr w:type="spellStart"/>
      <w:r w:rsidRPr="005C4A0C">
        <w:rPr>
          <w:rFonts w:ascii="Times New Roman" w:hAnsi="Times New Roman" w:cs="Times New Roman"/>
          <w:sz w:val="24"/>
          <w:szCs w:val="24"/>
        </w:rPr>
        <w:t>Шахпаронова</w:t>
      </w:r>
      <w:proofErr w:type="spellEnd"/>
      <w:r w:rsidRPr="005C4A0C">
        <w:rPr>
          <w:rFonts w:ascii="Times New Roman" w:hAnsi="Times New Roman" w:cs="Times New Roman"/>
          <w:sz w:val="24"/>
          <w:szCs w:val="24"/>
        </w:rPr>
        <w:t xml:space="preserve"> Н.В. Хронические сосудистые заболевания головного мозга:</w:t>
      </w:r>
      <w:r w:rsidR="006975AF" w:rsidRPr="005C4A0C">
        <w:rPr>
          <w:rFonts w:ascii="Times New Roman" w:hAnsi="Times New Roman" w:cs="Times New Roman"/>
          <w:sz w:val="24"/>
          <w:szCs w:val="24"/>
        </w:rPr>
        <w:t xml:space="preserve"> руководство для врачей (2-е изд. – М.</w:t>
      </w:r>
      <w:proofErr w:type="gramStart"/>
      <w:r w:rsidR="006975AF" w:rsidRPr="005C4A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975AF" w:rsidRPr="005C4A0C">
        <w:rPr>
          <w:rFonts w:ascii="Times New Roman" w:hAnsi="Times New Roman" w:cs="Times New Roman"/>
          <w:sz w:val="24"/>
          <w:szCs w:val="24"/>
        </w:rPr>
        <w:t>ГЭОТАР. – Медиа, 2013. – 232с.</w:t>
      </w:r>
    </w:p>
    <w:p w:rsidR="00107805" w:rsidRPr="005C4A0C" w:rsidRDefault="006975AF" w:rsidP="007B242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Кузнецова С.М.,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Сердце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мозг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органы-мишени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метаболической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цитопротекции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С.М.Кузнецова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М.С.Егорова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Материалы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международной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научно-практической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конференции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Сердце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C4A0C">
        <w:rPr>
          <w:rFonts w:ascii="Times New Roman" w:hAnsi="Times New Roman" w:cs="Times New Roman"/>
          <w:sz w:val="24"/>
          <w:szCs w:val="24"/>
          <w:lang w:val="uk-UA"/>
        </w:rPr>
        <w:t>мозг</w:t>
      </w:r>
      <w:proofErr w:type="spellEnd"/>
      <w:r w:rsidRPr="005C4A0C">
        <w:rPr>
          <w:rFonts w:ascii="Times New Roman" w:hAnsi="Times New Roman" w:cs="Times New Roman"/>
          <w:sz w:val="24"/>
          <w:szCs w:val="24"/>
          <w:lang w:val="uk-UA"/>
        </w:rPr>
        <w:t>». – Севастополь, 2012. – С.46-53.</w:t>
      </w:r>
    </w:p>
    <w:sectPr w:rsidR="00107805" w:rsidRPr="005C4A0C" w:rsidSect="005C4A0C">
      <w:pgSz w:w="11906" w:h="16838"/>
      <w:pgMar w:top="1985" w:right="849" w:bottom="426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A9" w:rsidRDefault="00137AA9" w:rsidP="005C4A0C">
      <w:pPr>
        <w:spacing w:after="0" w:line="240" w:lineRule="auto"/>
      </w:pPr>
      <w:r>
        <w:separator/>
      </w:r>
    </w:p>
  </w:endnote>
  <w:endnote w:type="continuationSeparator" w:id="0">
    <w:p w:rsidR="00137AA9" w:rsidRDefault="00137AA9" w:rsidP="005C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A9" w:rsidRDefault="00137AA9" w:rsidP="005C4A0C">
      <w:pPr>
        <w:spacing w:after="0" w:line="240" w:lineRule="auto"/>
      </w:pPr>
      <w:r>
        <w:separator/>
      </w:r>
    </w:p>
  </w:footnote>
  <w:footnote w:type="continuationSeparator" w:id="0">
    <w:p w:rsidR="00137AA9" w:rsidRDefault="00137AA9" w:rsidP="005C4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21A"/>
    <w:multiLevelType w:val="hybridMultilevel"/>
    <w:tmpl w:val="788C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EAF"/>
    <w:multiLevelType w:val="hybridMultilevel"/>
    <w:tmpl w:val="65E8D64C"/>
    <w:lvl w:ilvl="0" w:tplc="A82C51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76149"/>
    <w:multiLevelType w:val="hybridMultilevel"/>
    <w:tmpl w:val="1DE2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2184B"/>
    <w:multiLevelType w:val="hybridMultilevel"/>
    <w:tmpl w:val="0B866098"/>
    <w:lvl w:ilvl="0" w:tplc="88B88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40F6B"/>
    <w:multiLevelType w:val="hybridMultilevel"/>
    <w:tmpl w:val="72825D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BAD"/>
    <w:rsid w:val="00010467"/>
    <w:rsid w:val="0005378F"/>
    <w:rsid w:val="000D30D5"/>
    <w:rsid w:val="000E61B5"/>
    <w:rsid w:val="001022D8"/>
    <w:rsid w:val="00107805"/>
    <w:rsid w:val="00137AA9"/>
    <w:rsid w:val="0014056B"/>
    <w:rsid w:val="001F7BAD"/>
    <w:rsid w:val="0025468D"/>
    <w:rsid w:val="002E0C55"/>
    <w:rsid w:val="00320312"/>
    <w:rsid w:val="003B02F4"/>
    <w:rsid w:val="0042711B"/>
    <w:rsid w:val="00512413"/>
    <w:rsid w:val="005C4A0C"/>
    <w:rsid w:val="006505AA"/>
    <w:rsid w:val="00655C7E"/>
    <w:rsid w:val="006614CE"/>
    <w:rsid w:val="006975AF"/>
    <w:rsid w:val="006A69F8"/>
    <w:rsid w:val="006E2078"/>
    <w:rsid w:val="00703405"/>
    <w:rsid w:val="00746CF3"/>
    <w:rsid w:val="00755627"/>
    <w:rsid w:val="00774208"/>
    <w:rsid w:val="0078110B"/>
    <w:rsid w:val="007834F6"/>
    <w:rsid w:val="007947DC"/>
    <w:rsid w:val="00794C15"/>
    <w:rsid w:val="007B242F"/>
    <w:rsid w:val="00801200"/>
    <w:rsid w:val="00831E9D"/>
    <w:rsid w:val="0088033A"/>
    <w:rsid w:val="008A2D15"/>
    <w:rsid w:val="008F2560"/>
    <w:rsid w:val="009143BB"/>
    <w:rsid w:val="00995A2E"/>
    <w:rsid w:val="009C4F3F"/>
    <w:rsid w:val="009D3EEA"/>
    <w:rsid w:val="009D558C"/>
    <w:rsid w:val="00AF2099"/>
    <w:rsid w:val="00B27001"/>
    <w:rsid w:val="00BF31F6"/>
    <w:rsid w:val="00C10A50"/>
    <w:rsid w:val="00C95A44"/>
    <w:rsid w:val="00CD075C"/>
    <w:rsid w:val="00CD0763"/>
    <w:rsid w:val="00D17A7F"/>
    <w:rsid w:val="00DD1696"/>
    <w:rsid w:val="00DE1612"/>
    <w:rsid w:val="00E24FBA"/>
    <w:rsid w:val="00E36AC0"/>
    <w:rsid w:val="00E55317"/>
    <w:rsid w:val="00EE0D12"/>
    <w:rsid w:val="00EE478E"/>
    <w:rsid w:val="00F27749"/>
    <w:rsid w:val="00F422FA"/>
    <w:rsid w:val="00F83709"/>
    <w:rsid w:val="00FB56A3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5124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A0C"/>
  </w:style>
  <w:style w:type="paragraph" w:styleId="a7">
    <w:name w:val="footer"/>
    <w:basedOn w:val="a"/>
    <w:link w:val="a8"/>
    <w:uiPriority w:val="99"/>
    <w:unhideWhenUsed/>
    <w:rsid w:val="005C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081E68F-DB42-4EBD-8520-E9AE232E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Павел</cp:lastModifiedBy>
  <cp:revision>30</cp:revision>
  <cp:lastPrinted>2016-04-19T13:42:00Z</cp:lastPrinted>
  <dcterms:created xsi:type="dcterms:W3CDTF">2016-03-28T06:46:00Z</dcterms:created>
  <dcterms:modified xsi:type="dcterms:W3CDTF">2016-06-23T06:31:00Z</dcterms:modified>
</cp:coreProperties>
</file>