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B8" w:rsidRDefault="00BC75B8" w:rsidP="00E36E5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ФИНАНСОВАЯ МОТИВАЦИЯ И РАВЕНСТВОДОСТУПА К УСЛУГАМ ЗДРАВООХРАНЕНИЯКАК ПРИОРИТЕТЫ РЕФОРМИРОВАНИЯ СИСТЕМЫ ФИНАНСИРОВАНИЯ ЗДРАВООХРАНЕНИЯ</w:t>
      </w:r>
    </w:p>
    <w:p w:rsidR="00BC75B8" w:rsidRDefault="00BC75B8" w:rsidP="00BC75B8">
      <w:pPr>
        <w:pStyle w:val="Default"/>
        <w:jc w:val="center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Трегуб П.О., Петриченко И.И.</w:t>
      </w:r>
    </w:p>
    <w:p w:rsidR="00BC75B8" w:rsidRDefault="00BC75B8" w:rsidP="00BC75B8">
      <w:pPr>
        <w:pStyle w:val="Default"/>
        <w:jc w:val="center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Харьковский национальный медицинский университет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>Реформа системы финансирования з</w:t>
      </w:r>
      <w:r w:rsidR="00E36E59">
        <w:rPr>
          <w:color w:val="auto"/>
          <w:sz w:val="28"/>
          <w:szCs w:val="28"/>
        </w:rPr>
        <w:t>дравоохранения Украины представ</w:t>
      </w:r>
      <w:r w:rsidRPr="00E36E59">
        <w:rPr>
          <w:color w:val="auto"/>
          <w:sz w:val="28"/>
          <w:szCs w:val="28"/>
        </w:rPr>
        <w:t xml:space="preserve">ляет собой серьезную задачу, на пути которой </w:t>
      </w:r>
      <w:r w:rsidR="00E36E59">
        <w:rPr>
          <w:color w:val="auto"/>
          <w:sz w:val="28"/>
          <w:szCs w:val="28"/>
        </w:rPr>
        <w:t>стоит закостенелость системы го</w:t>
      </w:r>
      <w:r w:rsidRPr="00E36E59">
        <w:rPr>
          <w:color w:val="auto"/>
          <w:sz w:val="28"/>
          <w:szCs w:val="28"/>
        </w:rPr>
        <w:t>сударственного финансирования. Требуется обдуманный выбор нововведений и оценка их целесообразности в неразрывной с</w:t>
      </w:r>
      <w:r w:rsidR="00E36E59">
        <w:rPr>
          <w:color w:val="auto"/>
          <w:sz w:val="28"/>
          <w:szCs w:val="28"/>
        </w:rPr>
        <w:t>вязи с политическим стремле</w:t>
      </w:r>
      <w:r w:rsidRPr="00E36E59">
        <w:rPr>
          <w:color w:val="auto"/>
          <w:sz w:val="28"/>
          <w:szCs w:val="28"/>
        </w:rPr>
        <w:t xml:space="preserve">нием введения реформ.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>К ключевым моментам можно отне</w:t>
      </w:r>
      <w:r w:rsidR="00E36E59">
        <w:rPr>
          <w:color w:val="auto"/>
          <w:sz w:val="28"/>
          <w:szCs w:val="28"/>
        </w:rPr>
        <w:t>сти финансовую мотивацию и авто</w:t>
      </w:r>
      <w:r w:rsidRPr="00E36E59">
        <w:rPr>
          <w:color w:val="auto"/>
          <w:sz w:val="28"/>
          <w:szCs w:val="28"/>
        </w:rPr>
        <w:t>номию поставщика услуг медицинской п</w:t>
      </w:r>
      <w:r w:rsidR="00E36E59">
        <w:rPr>
          <w:color w:val="auto"/>
          <w:sz w:val="28"/>
          <w:szCs w:val="28"/>
        </w:rPr>
        <w:t>омощи, обеспечение равенства до</w:t>
      </w:r>
      <w:r w:rsidRPr="00E36E59">
        <w:rPr>
          <w:color w:val="auto"/>
          <w:sz w:val="28"/>
          <w:szCs w:val="28"/>
        </w:rPr>
        <w:t xml:space="preserve">ступа к услугам здравоохранения и уменьшение частных платежей.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>В первом случае необходимо введени</w:t>
      </w:r>
      <w:r w:rsidR="00E36E59">
        <w:rPr>
          <w:color w:val="auto"/>
          <w:sz w:val="28"/>
          <w:szCs w:val="28"/>
        </w:rPr>
        <w:t>е новых методов оплаты поставщи</w:t>
      </w:r>
      <w:r w:rsidRPr="00E36E59">
        <w:rPr>
          <w:color w:val="auto"/>
          <w:sz w:val="28"/>
          <w:szCs w:val="28"/>
        </w:rPr>
        <w:t>ков услуг и обеспечение большой автоно</w:t>
      </w:r>
      <w:r w:rsidR="00E36E59">
        <w:rPr>
          <w:color w:val="auto"/>
          <w:sz w:val="28"/>
          <w:szCs w:val="28"/>
        </w:rPr>
        <w:t>мии в использовании данных мето</w:t>
      </w:r>
      <w:r w:rsidRPr="00E36E59">
        <w:rPr>
          <w:color w:val="auto"/>
          <w:sz w:val="28"/>
          <w:szCs w:val="28"/>
        </w:rPr>
        <w:t>дов. Варианты способа оплаты услуг поставщиков отличаются потенциалом мотивации, которую они обеспечивают провайдерам, стимулируя их стремление к реализации четырех целей: предотвращение проблем граждан со здоровьем; предоставление услуг гражданам и решение</w:t>
      </w:r>
      <w:r w:rsidR="00E36E59">
        <w:rPr>
          <w:color w:val="auto"/>
          <w:sz w:val="28"/>
          <w:szCs w:val="28"/>
        </w:rPr>
        <w:t xml:space="preserve"> их проблем, связанных с состоя</w:t>
      </w:r>
      <w:r w:rsidRPr="00E36E59">
        <w:rPr>
          <w:color w:val="auto"/>
          <w:sz w:val="28"/>
          <w:szCs w:val="28"/>
        </w:rPr>
        <w:t xml:space="preserve">нием здоровья; соответствие законным ожиданиям населения и сдерживание затрат. Однако сами по себе они не являются оптимальными для достижения этих целей [2, с. 23–45] На данный момент </w:t>
      </w:r>
      <w:r w:rsidR="00E36E59">
        <w:rPr>
          <w:color w:val="auto"/>
          <w:sz w:val="28"/>
          <w:szCs w:val="28"/>
        </w:rPr>
        <w:t>в Украине используется метод по</w:t>
      </w:r>
      <w:r w:rsidRPr="00E36E59">
        <w:rPr>
          <w:color w:val="auto"/>
          <w:sz w:val="28"/>
          <w:szCs w:val="28"/>
        </w:rPr>
        <w:t>статейного бюджета. Этот метод наиболее полно подходит для сдерживания затрат, однако он не создает мотивации для достижения остальных целей. Для увеличения эффективности работы меди</w:t>
      </w:r>
      <w:r w:rsidR="00E36E59">
        <w:rPr>
          <w:color w:val="auto"/>
          <w:sz w:val="28"/>
          <w:szCs w:val="28"/>
        </w:rPr>
        <w:t>цинских учреждений необходим пе</w:t>
      </w:r>
      <w:r w:rsidRPr="00E36E59">
        <w:rPr>
          <w:color w:val="auto"/>
          <w:sz w:val="28"/>
          <w:szCs w:val="28"/>
        </w:rPr>
        <w:t xml:space="preserve">реход на финансирование их деятельности путем оплаты результатов.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>Профилактика заболеваний, смещение акцентов со стационарной помощи к амбулаторной помощи и усиление роли первичной медицинской помощи являются наиболее важными задачами реф</w:t>
      </w:r>
      <w:r w:rsidR="00E36E59">
        <w:rPr>
          <w:color w:val="auto"/>
          <w:sz w:val="28"/>
          <w:szCs w:val="28"/>
        </w:rPr>
        <w:t>ормирования. В свете их реализа</w:t>
      </w:r>
      <w:r w:rsidRPr="00E36E59">
        <w:rPr>
          <w:color w:val="auto"/>
          <w:sz w:val="28"/>
          <w:szCs w:val="28"/>
        </w:rPr>
        <w:t>ции, для оплаты первичной медицинско</w:t>
      </w:r>
      <w:r w:rsidR="00E36E59">
        <w:rPr>
          <w:color w:val="auto"/>
          <w:sz w:val="28"/>
          <w:szCs w:val="28"/>
        </w:rPr>
        <w:t>й помощи наиболее предпочтитель</w:t>
      </w:r>
      <w:r w:rsidRPr="00E36E59">
        <w:rPr>
          <w:color w:val="auto"/>
          <w:sz w:val="28"/>
          <w:szCs w:val="28"/>
        </w:rPr>
        <w:t xml:space="preserve">ным является </w:t>
      </w:r>
      <w:proofErr w:type="spellStart"/>
      <w:r w:rsidRPr="00E36E59">
        <w:rPr>
          <w:color w:val="auto"/>
          <w:sz w:val="28"/>
          <w:szCs w:val="28"/>
        </w:rPr>
        <w:t>подушевое</w:t>
      </w:r>
      <w:proofErr w:type="spellEnd"/>
      <w:r w:rsidRPr="00E36E59">
        <w:rPr>
          <w:color w:val="auto"/>
          <w:sz w:val="28"/>
          <w:szCs w:val="28"/>
        </w:rPr>
        <w:t xml:space="preserve"> финансирование</w:t>
      </w:r>
      <w:r w:rsidR="00E36E59">
        <w:rPr>
          <w:color w:val="auto"/>
          <w:sz w:val="28"/>
          <w:szCs w:val="28"/>
        </w:rPr>
        <w:t xml:space="preserve"> с частичным </w:t>
      </w:r>
      <w:proofErr w:type="spellStart"/>
      <w:r w:rsidR="00E36E59">
        <w:rPr>
          <w:color w:val="auto"/>
          <w:sz w:val="28"/>
          <w:szCs w:val="28"/>
        </w:rPr>
        <w:t>фондодержанием</w:t>
      </w:r>
      <w:proofErr w:type="spellEnd"/>
      <w:r w:rsidR="00E36E59">
        <w:rPr>
          <w:color w:val="auto"/>
          <w:sz w:val="28"/>
          <w:szCs w:val="28"/>
        </w:rPr>
        <w:t xml:space="preserve">, </w:t>
      </w:r>
      <w:proofErr w:type="gramStart"/>
      <w:r w:rsidR="00E36E59">
        <w:rPr>
          <w:color w:val="auto"/>
          <w:sz w:val="28"/>
          <w:szCs w:val="28"/>
        </w:rPr>
        <w:t>ко</w:t>
      </w:r>
      <w:r w:rsidRPr="00E36E59">
        <w:rPr>
          <w:color w:val="auto"/>
          <w:sz w:val="28"/>
          <w:szCs w:val="28"/>
        </w:rPr>
        <w:t>торый</w:t>
      </w:r>
      <w:proofErr w:type="gramEnd"/>
      <w:r w:rsidRPr="00E36E59">
        <w:rPr>
          <w:color w:val="auto"/>
          <w:sz w:val="28"/>
          <w:szCs w:val="28"/>
        </w:rPr>
        <w:t xml:space="preserve"> может сопровождаться премиями за достижение целевых показателей и гонорарными платежами. Однако в наших р</w:t>
      </w:r>
      <w:r w:rsidR="00E36E59">
        <w:rPr>
          <w:color w:val="auto"/>
          <w:sz w:val="28"/>
          <w:szCs w:val="28"/>
        </w:rPr>
        <w:t>еалиях целесообразно прежде про</w:t>
      </w:r>
      <w:r w:rsidRPr="00E36E59">
        <w:rPr>
          <w:color w:val="auto"/>
          <w:sz w:val="28"/>
          <w:szCs w:val="28"/>
        </w:rPr>
        <w:t xml:space="preserve">вести пилотную апробацию [1, c. 32]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>Более реальны к применению такие ме</w:t>
      </w:r>
      <w:r w:rsidR="00E36E59">
        <w:rPr>
          <w:color w:val="auto"/>
          <w:sz w:val="28"/>
          <w:szCs w:val="28"/>
        </w:rPr>
        <w:t>тоды оплаты, как глобальный бюд</w:t>
      </w:r>
      <w:r w:rsidRPr="00E36E59">
        <w:rPr>
          <w:color w:val="auto"/>
          <w:sz w:val="28"/>
          <w:szCs w:val="28"/>
        </w:rPr>
        <w:t xml:space="preserve">жет и оплата за случай лечения, и должны </w:t>
      </w:r>
      <w:r w:rsidR="00E36E59">
        <w:rPr>
          <w:color w:val="auto"/>
          <w:sz w:val="28"/>
          <w:szCs w:val="28"/>
        </w:rPr>
        <w:t>рассматриваться реальной альтер</w:t>
      </w:r>
      <w:r w:rsidRPr="00E36E59">
        <w:rPr>
          <w:color w:val="auto"/>
          <w:sz w:val="28"/>
          <w:szCs w:val="28"/>
        </w:rPr>
        <w:t>нативой постатейного финансирования. Гло</w:t>
      </w:r>
      <w:r w:rsidR="00E36E59">
        <w:rPr>
          <w:color w:val="auto"/>
          <w:sz w:val="28"/>
          <w:szCs w:val="28"/>
        </w:rPr>
        <w:t>бальный бюджет обеспечивает гиб</w:t>
      </w:r>
      <w:bookmarkStart w:id="0" w:name="_GoBack"/>
      <w:bookmarkEnd w:id="0"/>
      <w:r w:rsidRPr="00E36E59">
        <w:rPr>
          <w:color w:val="auto"/>
          <w:sz w:val="28"/>
          <w:szCs w:val="28"/>
        </w:rPr>
        <w:t>кость поставщиков в принятии решений и создает для них мотивацию. Кроме того, он мотивирует к предотвращению случаев осложнений после лечения в стационаре и повторной госпитализации.</w:t>
      </w:r>
      <w:r w:rsidR="00E36E59">
        <w:rPr>
          <w:color w:val="auto"/>
          <w:sz w:val="28"/>
          <w:szCs w:val="28"/>
        </w:rPr>
        <w:t xml:space="preserve"> К недостаткам можно отнести из</w:t>
      </w:r>
      <w:r w:rsidRPr="00E36E59">
        <w:rPr>
          <w:color w:val="auto"/>
          <w:sz w:val="28"/>
          <w:szCs w:val="28"/>
        </w:rPr>
        <w:t>лишнее сохранение мощностей медицинских учреждений. Этого лишен метод оплаты за случай населения, который соз</w:t>
      </w:r>
      <w:r w:rsidR="00E36E59">
        <w:rPr>
          <w:color w:val="auto"/>
          <w:sz w:val="28"/>
          <w:szCs w:val="28"/>
        </w:rPr>
        <w:t>дает сильную мотивацию поставщи</w:t>
      </w:r>
      <w:r w:rsidRPr="00E36E59">
        <w:rPr>
          <w:color w:val="auto"/>
          <w:sz w:val="28"/>
          <w:szCs w:val="28"/>
        </w:rPr>
        <w:t>ков к сокращению излишних мощностей и к повышению продуктивности. К тому же он может способствовать более эффективному распределению сре</w:t>
      </w:r>
      <w:proofErr w:type="gramStart"/>
      <w:r w:rsidRPr="00E36E59">
        <w:rPr>
          <w:color w:val="auto"/>
          <w:sz w:val="28"/>
          <w:szCs w:val="28"/>
        </w:rPr>
        <w:t>дств ср</w:t>
      </w:r>
      <w:proofErr w:type="gramEnd"/>
      <w:r w:rsidRPr="00E36E59">
        <w:rPr>
          <w:color w:val="auto"/>
          <w:sz w:val="28"/>
          <w:szCs w:val="28"/>
        </w:rPr>
        <w:t>еди поставщиков и реструктуризации больничной сети. Сложность его введения заключается в том, что появляется необходимость детальной классификации медицинских услуг или создание базы данных с тарифами на случаи лечения. В связи с этим, метод глобального бюджета является более приоритетным на ранних этапах реформи</w:t>
      </w:r>
      <w:r w:rsidR="00E36E59">
        <w:rPr>
          <w:color w:val="auto"/>
          <w:sz w:val="28"/>
          <w:szCs w:val="28"/>
        </w:rPr>
        <w:t>рования. Комбинация же двух обо</w:t>
      </w:r>
      <w:r w:rsidRPr="00E36E59">
        <w:rPr>
          <w:color w:val="auto"/>
          <w:sz w:val="28"/>
          <w:szCs w:val="28"/>
        </w:rPr>
        <w:t xml:space="preserve">значенных методов может быть внедрена на более поздних стадиях.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 xml:space="preserve">Для обеспечения же равенства доступа </w:t>
      </w:r>
      <w:r w:rsidR="00E36E59">
        <w:rPr>
          <w:color w:val="auto"/>
          <w:sz w:val="28"/>
          <w:szCs w:val="28"/>
        </w:rPr>
        <w:t>к услугам здравоохранения и уме</w:t>
      </w:r>
      <w:r w:rsidRPr="00E36E59">
        <w:rPr>
          <w:color w:val="auto"/>
          <w:sz w:val="28"/>
          <w:szCs w:val="28"/>
        </w:rPr>
        <w:t xml:space="preserve">ньшения частных платежей можно применить два метода: увеличение объемов </w:t>
      </w:r>
      <w:r w:rsidRPr="00E36E59">
        <w:rPr>
          <w:color w:val="auto"/>
          <w:sz w:val="28"/>
          <w:szCs w:val="28"/>
        </w:rPr>
        <w:lastRenderedPageBreak/>
        <w:t>государственного финансирования здрав</w:t>
      </w:r>
      <w:r w:rsidR="00E36E59">
        <w:rPr>
          <w:color w:val="auto"/>
          <w:sz w:val="28"/>
          <w:szCs w:val="28"/>
        </w:rPr>
        <w:t>оохранения или же изменение сло</w:t>
      </w:r>
      <w:r w:rsidRPr="00E36E59">
        <w:rPr>
          <w:color w:val="auto"/>
          <w:sz w:val="28"/>
          <w:szCs w:val="28"/>
        </w:rPr>
        <w:t xml:space="preserve">жившегося неофициального разделения ответственности </w:t>
      </w:r>
      <w:r w:rsidR="00E36E59">
        <w:rPr>
          <w:color w:val="auto"/>
          <w:sz w:val="28"/>
          <w:szCs w:val="28"/>
        </w:rPr>
        <w:t>за оплату услуг здра</w:t>
      </w:r>
      <w:r w:rsidRPr="00E36E59">
        <w:rPr>
          <w:color w:val="auto"/>
          <w:sz w:val="28"/>
          <w:szCs w:val="28"/>
        </w:rPr>
        <w:t xml:space="preserve">воохранения между государством и гражданами.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 xml:space="preserve">Первый метод сильно зависит от экономической ситуации в стране, а именно от экономических реформ и темпов роста. </w:t>
      </w:r>
      <w:r w:rsidR="00E36E59">
        <w:rPr>
          <w:color w:val="auto"/>
          <w:sz w:val="28"/>
          <w:szCs w:val="28"/>
        </w:rPr>
        <w:t>Однако даже с учетом положитель</w:t>
      </w:r>
      <w:r w:rsidRPr="00E36E59">
        <w:rPr>
          <w:color w:val="auto"/>
          <w:sz w:val="28"/>
          <w:szCs w:val="28"/>
        </w:rPr>
        <w:t xml:space="preserve">ного прогресса, необходимо применение комбинированного финансирования здравоохранения не только из государственных, но и из частных источников.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>Второй метод предполагает коренное преобразование бесплатного пакета услуг здравоохранения и может быть введен только при условии постепенного наращивания реформы и достижения бал</w:t>
      </w:r>
      <w:r w:rsidR="00E36E59">
        <w:rPr>
          <w:color w:val="auto"/>
          <w:sz w:val="28"/>
          <w:szCs w:val="28"/>
        </w:rPr>
        <w:t>анса между предоставляемыми бес</w:t>
      </w:r>
      <w:r w:rsidRPr="00E36E59">
        <w:rPr>
          <w:color w:val="auto"/>
          <w:sz w:val="28"/>
          <w:szCs w:val="28"/>
        </w:rPr>
        <w:t xml:space="preserve">платно услугами и объединенными пулами </w:t>
      </w:r>
      <w:r w:rsidR="00E36E59">
        <w:rPr>
          <w:color w:val="auto"/>
          <w:sz w:val="28"/>
          <w:szCs w:val="28"/>
        </w:rPr>
        <w:t>сре</w:t>
      </w:r>
      <w:proofErr w:type="gramStart"/>
      <w:r w:rsidR="00E36E59">
        <w:rPr>
          <w:color w:val="auto"/>
          <w:sz w:val="28"/>
          <w:szCs w:val="28"/>
        </w:rPr>
        <w:t>дств здр</w:t>
      </w:r>
      <w:proofErr w:type="gramEnd"/>
      <w:r w:rsidR="00E36E59">
        <w:rPr>
          <w:color w:val="auto"/>
          <w:sz w:val="28"/>
          <w:szCs w:val="28"/>
        </w:rPr>
        <w:t>авоохранения из част</w:t>
      </w:r>
      <w:r w:rsidRPr="00E36E59">
        <w:rPr>
          <w:color w:val="auto"/>
          <w:sz w:val="28"/>
          <w:szCs w:val="28"/>
        </w:rPr>
        <w:t xml:space="preserve">ных и государственных источников. С учетом этого, актуальными мерами будут являться следующие: </w:t>
      </w:r>
    </w:p>
    <w:p w:rsidR="00BC75B8" w:rsidRPr="00E36E59" w:rsidRDefault="00BC75B8" w:rsidP="00E36E59">
      <w:pPr>
        <w:pStyle w:val="Default"/>
        <w:spacing w:after="57"/>
        <w:jc w:val="both"/>
        <w:rPr>
          <w:color w:val="auto"/>
          <w:sz w:val="28"/>
          <w:szCs w:val="28"/>
        </w:rPr>
      </w:pPr>
      <w:proofErr w:type="spellStart"/>
      <w:r w:rsidRPr="00E36E59">
        <w:rPr>
          <w:color w:val="auto"/>
          <w:sz w:val="28"/>
          <w:szCs w:val="28"/>
        </w:rPr>
        <w:t>конкретизирование</w:t>
      </w:r>
      <w:proofErr w:type="spellEnd"/>
      <w:r w:rsidRPr="00E36E59">
        <w:rPr>
          <w:color w:val="auto"/>
          <w:sz w:val="28"/>
          <w:szCs w:val="28"/>
        </w:rPr>
        <w:t xml:space="preserve"> государственных</w:t>
      </w:r>
      <w:r w:rsidR="00E36E59">
        <w:rPr>
          <w:color w:val="auto"/>
          <w:sz w:val="28"/>
          <w:szCs w:val="28"/>
        </w:rPr>
        <w:t xml:space="preserve"> гарантий бесплатного предостав</w:t>
      </w:r>
      <w:r w:rsidRPr="00E36E59">
        <w:rPr>
          <w:color w:val="auto"/>
          <w:sz w:val="28"/>
          <w:szCs w:val="28"/>
        </w:rPr>
        <w:t>ления бесплатной медицинской помощи с</w:t>
      </w:r>
      <w:r w:rsidR="00E36E59">
        <w:rPr>
          <w:color w:val="auto"/>
          <w:sz w:val="28"/>
          <w:szCs w:val="28"/>
        </w:rPr>
        <w:t xml:space="preserve"> учетом реалистичной оценки воз</w:t>
      </w:r>
      <w:r w:rsidRPr="00E36E59">
        <w:rPr>
          <w:color w:val="auto"/>
          <w:sz w:val="28"/>
          <w:szCs w:val="28"/>
        </w:rPr>
        <w:t xml:space="preserve">можностей их финансирования за счет бюджетных средств; </w:t>
      </w:r>
    </w:p>
    <w:p w:rsidR="00BC75B8" w:rsidRPr="00E36E59" w:rsidRDefault="00BC75B8" w:rsidP="00E36E59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 xml:space="preserve">легализация </w:t>
      </w:r>
      <w:proofErr w:type="spellStart"/>
      <w:r w:rsidRPr="00E36E59">
        <w:rPr>
          <w:color w:val="auto"/>
          <w:sz w:val="28"/>
          <w:szCs w:val="28"/>
        </w:rPr>
        <w:t>соплатежей</w:t>
      </w:r>
      <w:proofErr w:type="spellEnd"/>
      <w:r w:rsidRPr="00E36E59">
        <w:rPr>
          <w:color w:val="auto"/>
          <w:sz w:val="28"/>
          <w:szCs w:val="28"/>
        </w:rPr>
        <w:t xml:space="preserve"> населения </w:t>
      </w:r>
      <w:r w:rsidR="00E36E59">
        <w:rPr>
          <w:color w:val="auto"/>
          <w:sz w:val="28"/>
          <w:szCs w:val="28"/>
        </w:rPr>
        <w:t>за отдельные компоненты гаранти</w:t>
      </w:r>
      <w:r w:rsidRPr="00E36E59">
        <w:rPr>
          <w:color w:val="auto"/>
          <w:sz w:val="28"/>
          <w:szCs w:val="28"/>
        </w:rPr>
        <w:t xml:space="preserve">руемой медицинской помощи; </w:t>
      </w:r>
    </w:p>
    <w:p w:rsidR="00BC75B8" w:rsidRPr="00E36E59" w:rsidRDefault="00BC75B8" w:rsidP="00E36E59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 xml:space="preserve">усовершенствование законодательной базы в отношении потребности здравоохранения в финансовых средствах; </w:t>
      </w:r>
    </w:p>
    <w:p w:rsidR="00BC75B8" w:rsidRPr="00E36E59" w:rsidRDefault="00BC75B8" w:rsidP="00E36E59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 xml:space="preserve">разработка смешанной схемы медицинского страхования;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>освобождение от налогов страховых</w:t>
      </w:r>
      <w:r w:rsidR="00E36E59">
        <w:rPr>
          <w:color w:val="auto"/>
          <w:sz w:val="28"/>
          <w:szCs w:val="28"/>
        </w:rPr>
        <w:t xml:space="preserve"> взносов, осуществляемых работо</w:t>
      </w:r>
      <w:r w:rsidRPr="00E36E59">
        <w:rPr>
          <w:color w:val="auto"/>
          <w:sz w:val="28"/>
          <w:szCs w:val="28"/>
        </w:rPr>
        <w:t xml:space="preserve">дателями за своих служащих.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b/>
          <w:bCs/>
          <w:color w:val="auto"/>
          <w:sz w:val="28"/>
          <w:szCs w:val="28"/>
        </w:rPr>
        <w:t>Вывод</w:t>
      </w:r>
      <w:r w:rsidRPr="00E36E59">
        <w:rPr>
          <w:color w:val="auto"/>
          <w:sz w:val="28"/>
          <w:szCs w:val="28"/>
        </w:rPr>
        <w:t xml:space="preserve">: проведение </w:t>
      </w:r>
      <w:proofErr w:type="gramStart"/>
      <w:r w:rsidRPr="00E36E59">
        <w:rPr>
          <w:color w:val="auto"/>
          <w:sz w:val="28"/>
          <w:szCs w:val="28"/>
        </w:rPr>
        <w:t>реформ системы финансирования здравоохранения Украины</w:t>
      </w:r>
      <w:proofErr w:type="gramEnd"/>
      <w:r w:rsidRPr="00E36E59">
        <w:rPr>
          <w:color w:val="auto"/>
          <w:sz w:val="28"/>
          <w:szCs w:val="28"/>
        </w:rPr>
        <w:t xml:space="preserve"> является важным звеном на пу</w:t>
      </w:r>
      <w:r w:rsidR="00E36E59">
        <w:rPr>
          <w:color w:val="auto"/>
          <w:sz w:val="28"/>
          <w:szCs w:val="28"/>
        </w:rPr>
        <w:t>ти к улучшению качества медицин</w:t>
      </w:r>
      <w:r w:rsidRPr="00E36E59">
        <w:rPr>
          <w:color w:val="auto"/>
          <w:sz w:val="28"/>
          <w:szCs w:val="28"/>
        </w:rPr>
        <w:t xml:space="preserve">ского обслуживания населения, оно должно быть обосновано и опираться на сильную политическую волю.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i/>
          <w:iCs/>
          <w:color w:val="auto"/>
          <w:sz w:val="28"/>
          <w:szCs w:val="28"/>
        </w:rPr>
        <w:t xml:space="preserve">Использованная литература </w:t>
      </w:r>
    </w:p>
    <w:p w:rsidR="00BC75B8" w:rsidRPr="00E36E59" w:rsidRDefault="00BC75B8" w:rsidP="00E36E59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 xml:space="preserve">1. В. </w:t>
      </w:r>
      <w:proofErr w:type="spellStart"/>
      <w:r w:rsidRPr="00E36E59">
        <w:rPr>
          <w:color w:val="auto"/>
          <w:sz w:val="28"/>
          <w:szCs w:val="28"/>
        </w:rPr>
        <w:t>Лехан</w:t>
      </w:r>
      <w:proofErr w:type="spellEnd"/>
      <w:r w:rsidRPr="00E36E59">
        <w:rPr>
          <w:color w:val="auto"/>
          <w:sz w:val="28"/>
          <w:szCs w:val="28"/>
        </w:rPr>
        <w:t xml:space="preserve">, В. Рудный, С. Шишкин «Система финансирования </w:t>
      </w:r>
      <w:proofErr w:type="gramStart"/>
      <w:r w:rsidRPr="00E36E59">
        <w:rPr>
          <w:color w:val="auto"/>
          <w:sz w:val="28"/>
          <w:szCs w:val="28"/>
        </w:rPr>
        <w:t>здраво-охранения</w:t>
      </w:r>
      <w:proofErr w:type="gramEnd"/>
      <w:r w:rsidRPr="00E36E59">
        <w:rPr>
          <w:color w:val="auto"/>
          <w:sz w:val="28"/>
          <w:szCs w:val="28"/>
        </w:rPr>
        <w:t xml:space="preserve"> в Украине и пути ее реформирова</w:t>
      </w:r>
      <w:r w:rsidR="00E36E59">
        <w:rPr>
          <w:color w:val="auto"/>
          <w:sz w:val="28"/>
          <w:szCs w:val="28"/>
        </w:rPr>
        <w:t>ния» [Электронный ресурс]. – Ре</w:t>
      </w:r>
      <w:r w:rsidRPr="00E36E59">
        <w:rPr>
          <w:color w:val="auto"/>
          <w:sz w:val="28"/>
          <w:szCs w:val="28"/>
        </w:rPr>
        <w:t xml:space="preserve">жим доступа: http://www.rusnauka.com/18_EN_2009/Economics/48623.doc.htm </w:t>
      </w:r>
    </w:p>
    <w:p w:rsidR="00BC75B8" w:rsidRPr="00E36E59" w:rsidRDefault="00BC75B8" w:rsidP="00E36E59">
      <w:pPr>
        <w:pStyle w:val="Default"/>
        <w:jc w:val="both"/>
        <w:rPr>
          <w:color w:val="auto"/>
          <w:sz w:val="28"/>
          <w:szCs w:val="28"/>
        </w:rPr>
      </w:pPr>
      <w:r w:rsidRPr="00E36E59">
        <w:rPr>
          <w:color w:val="auto"/>
          <w:sz w:val="28"/>
          <w:szCs w:val="28"/>
        </w:rPr>
        <w:t xml:space="preserve">2. </w:t>
      </w:r>
      <w:proofErr w:type="spellStart"/>
      <w:r w:rsidRPr="00E36E59">
        <w:rPr>
          <w:color w:val="auto"/>
          <w:sz w:val="28"/>
          <w:szCs w:val="28"/>
        </w:rPr>
        <w:t>Barnum</w:t>
      </w:r>
      <w:proofErr w:type="spellEnd"/>
      <w:r w:rsidRPr="00E36E59">
        <w:rPr>
          <w:color w:val="auto"/>
          <w:sz w:val="28"/>
          <w:szCs w:val="28"/>
        </w:rPr>
        <w:t xml:space="preserve"> H, </w:t>
      </w:r>
      <w:proofErr w:type="spellStart"/>
      <w:r w:rsidRPr="00E36E59">
        <w:rPr>
          <w:color w:val="auto"/>
          <w:sz w:val="28"/>
          <w:szCs w:val="28"/>
        </w:rPr>
        <w:t>Kutzin</w:t>
      </w:r>
      <w:proofErr w:type="spellEnd"/>
      <w:r w:rsidRPr="00E36E59">
        <w:rPr>
          <w:color w:val="auto"/>
          <w:sz w:val="28"/>
          <w:szCs w:val="28"/>
        </w:rPr>
        <w:t xml:space="preserve"> J, </w:t>
      </w:r>
      <w:proofErr w:type="spellStart"/>
      <w:r w:rsidRPr="00E36E59">
        <w:rPr>
          <w:color w:val="auto"/>
          <w:sz w:val="28"/>
          <w:szCs w:val="28"/>
        </w:rPr>
        <w:t>Saxenian</w:t>
      </w:r>
      <w:proofErr w:type="spellEnd"/>
      <w:r w:rsidRPr="00E36E59">
        <w:rPr>
          <w:color w:val="auto"/>
          <w:sz w:val="28"/>
          <w:szCs w:val="28"/>
        </w:rPr>
        <w:t xml:space="preserve"> H, (1995). </w:t>
      </w:r>
      <w:proofErr w:type="spellStart"/>
      <w:r w:rsidRPr="00E36E59">
        <w:rPr>
          <w:color w:val="auto"/>
          <w:sz w:val="28"/>
          <w:szCs w:val="28"/>
        </w:rPr>
        <w:t>Incentives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and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Provider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Payment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Methods</w:t>
      </w:r>
      <w:proofErr w:type="spellEnd"/>
      <w:r w:rsidRPr="00E36E59">
        <w:rPr>
          <w:color w:val="auto"/>
          <w:sz w:val="28"/>
          <w:szCs w:val="28"/>
        </w:rPr>
        <w:t xml:space="preserve">. </w:t>
      </w:r>
      <w:proofErr w:type="spellStart"/>
      <w:r w:rsidRPr="00E36E59">
        <w:rPr>
          <w:color w:val="auto"/>
          <w:sz w:val="28"/>
          <w:szCs w:val="28"/>
        </w:rPr>
        <w:t>International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Journal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of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Health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Planning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and</w:t>
      </w:r>
      <w:proofErr w:type="spellEnd"/>
      <w:r w:rsidRPr="00E36E59">
        <w:rPr>
          <w:color w:val="auto"/>
          <w:sz w:val="28"/>
          <w:szCs w:val="28"/>
        </w:rPr>
        <w:t xml:space="preserve"> </w:t>
      </w:r>
      <w:proofErr w:type="spellStart"/>
      <w:r w:rsidRPr="00E36E59">
        <w:rPr>
          <w:color w:val="auto"/>
          <w:sz w:val="28"/>
          <w:szCs w:val="28"/>
        </w:rPr>
        <w:t>Management</w:t>
      </w:r>
      <w:proofErr w:type="spellEnd"/>
      <w:r w:rsidRPr="00E36E59">
        <w:rPr>
          <w:color w:val="auto"/>
          <w:sz w:val="28"/>
          <w:szCs w:val="28"/>
        </w:rPr>
        <w:t xml:space="preserve"> 10(1): 23–45. </w:t>
      </w:r>
    </w:p>
    <w:sectPr w:rsidR="00BC75B8" w:rsidRPr="00E36E59" w:rsidSect="001F0A65">
      <w:pgSz w:w="11906" w:h="17338"/>
      <w:pgMar w:top="1245" w:right="899" w:bottom="207" w:left="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16A3C"/>
    <w:multiLevelType w:val="hybridMultilevel"/>
    <w:tmpl w:val="EECCB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088DE9"/>
    <w:multiLevelType w:val="hybridMultilevel"/>
    <w:tmpl w:val="5CDA6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5FAB5"/>
    <w:multiLevelType w:val="hybridMultilevel"/>
    <w:tmpl w:val="0DA334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95F729"/>
    <w:multiLevelType w:val="hybridMultilevel"/>
    <w:tmpl w:val="DB50B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8E5AF0"/>
    <w:multiLevelType w:val="hybridMultilevel"/>
    <w:tmpl w:val="91A82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E"/>
    <w:rsid w:val="00065AA0"/>
    <w:rsid w:val="000A3CFE"/>
    <w:rsid w:val="00130307"/>
    <w:rsid w:val="006811F8"/>
    <w:rsid w:val="00707071"/>
    <w:rsid w:val="00BC75B8"/>
    <w:rsid w:val="00CC5365"/>
    <w:rsid w:val="00E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2016-06-09T16:15:00Z</dcterms:created>
  <dcterms:modified xsi:type="dcterms:W3CDTF">2016-06-09T16:29:00Z</dcterms:modified>
</cp:coreProperties>
</file>