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24" w:rsidRPr="00E23724" w:rsidRDefault="00E23724" w:rsidP="00E23724">
      <w:pPr>
        <w:keepNext/>
        <w:keepLines/>
        <w:widowControl w:val="0"/>
        <w:suppressAutoHyphens/>
        <w:spacing w:after="120" w:line="240" w:lineRule="auto"/>
        <w:jc w:val="center"/>
        <w:outlineLvl w:val="1"/>
        <w:rPr>
          <w:rFonts w:ascii="Times New Roman" w:eastAsiaTheme="majorEastAsia" w:hAnsi="Times New Roman" w:cstheme="majorBidi"/>
          <w:b/>
          <w:bCs/>
          <w:caps/>
          <w:sz w:val="28"/>
          <w:szCs w:val="26"/>
          <w:lang w:eastAsia="ru-RU"/>
        </w:rPr>
      </w:pPr>
      <w:bookmarkStart w:id="0" w:name="_Toc447181844"/>
      <w:bookmarkStart w:id="1" w:name="_GoBack"/>
      <w:r w:rsidRPr="00E23724">
        <w:rPr>
          <w:rFonts w:ascii="Times New Roman" w:eastAsiaTheme="majorEastAsia" w:hAnsi="Times New Roman" w:cstheme="majorBidi"/>
          <w:b/>
          <w:bCs/>
          <w:caps/>
          <w:sz w:val="28"/>
          <w:szCs w:val="26"/>
          <w:lang w:eastAsia="ru-RU"/>
        </w:rPr>
        <w:t>Финансирование дублирующих медицинских учреждений и их автономность распоряжения бюджетными средствами.</w:t>
      </w:r>
      <w:bookmarkEnd w:id="0"/>
    </w:p>
    <w:bookmarkEnd w:id="1"/>
    <w:p w:rsidR="00E23724" w:rsidRPr="00E23724" w:rsidRDefault="00E23724" w:rsidP="00E23724">
      <w:pPr>
        <w:keepNext/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3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Усенко С.Г., Богатырь С.Н., </w:t>
      </w:r>
      <w:proofErr w:type="spellStart"/>
      <w:r w:rsidRPr="00E23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Жадик</w:t>
      </w:r>
      <w:proofErr w:type="spellEnd"/>
      <w:r w:rsidRPr="00E23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Р.О.</w:t>
      </w:r>
    </w:p>
    <w:p w:rsidR="00E23724" w:rsidRPr="00E23724" w:rsidRDefault="00E23724" w:rsidP="00E23724">
      <w:pPr>
        <w:keepNext/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3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Харьковский национальный медицинский университет</w:t>
      </w:r>
    </w:p>
    <w:p w:rsidR="00E23724" w:rsidRPr="00E23724" w:rsidRDefault="00E23724" w:rsidP="00E2372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Характеризуя общую картину сети медицинских учреждений надо указать на </w:t>
      </w:r>
      <w:proofErr w:type="gramStart"/>
      <w:r w:rsidRPr="00E237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E2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состав системы здравоохранения входят амбулаторно-поликлинические, больничные учреждения, отделения скорой медицинской помощи, </w:t>
      </w:r>
      <w:proofErr w:type="spellStart"/>
      <w:r w:rsidRPr="00E237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ФАПы</w:t>
      </w:r>
      <w:proofErr w:type="spellEnd"/>
      <w:r w:rsidRPr="00E2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Помимо этого, медицинские услуги населению оказываются частными медицинскими учреждений большая </w:t>
      </w:r>
      <w:proofErr w:type="gramStart"/>
      <w:r w:rsidRPr="00E2372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proofErr w:type="gramEnd"/>
      <w:r w:rsidRPr="00E2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это небольшие частные учреждения, которые предоставляют незначительную часть от общего объема медицинских услуг.</w:t>
      </w:r>
    </w:p>
    <w:p w:rsidR="00E23724" w:rsidRPr="00E23724" w:rsidRDefault="00E23724" w:rsidP="00E2372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большинство медицинских учреждений являются локальными монополистами. Но в областных центрах и больших городах имеют место множество медицинских учреждений, которые дублируют функцию друг друга в отношении предоставления одинакового ряда медицинских услуг: областные и городские детские больницы, областные и городские больницы, муниципальные и ведомственные учреждения. Несмотря на сформировавшуюся ситуацию конкуренции за получение бюджетных средств отсутствует, так как дублирующие друг друга учреждения находятся в административном подчинении у разных уровней органов власти. </w:t>
      </w:r>
      <w:proofErr w:type="gramStart"/>
      <w:r w:rsidRPr="00E237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 финансирование из бюджета каждого учреждения производится</w:t>
      </w:r>
      <w:proofErr w:type="gramEnd"/>
      <w:r w:rsidRPr="00E2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уровня власти, в котором это учреждение находится в административном подчинении и соответственно не может претендовать на средства, выделяемые другим уровням. </w:t>
      </w:r>
    </w:p>
    <w:p w:rsidR="00E23724" w:rsidRPr="00E23724" w:rsidRDefault="00E23724" w:rsidP="00E2372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государственные медицинские организации в Украине имеют статус бюджетных учреждений. </w:t>
      </w:r>
      <w:proofErr w:type="gramStart"/>
      <w:r w:rsidRPr="00E237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уровень их управленческой автономии относительно возможности самостоятельного перераспределения финансовых ресурсов между направлениями финансовых расходов в зависимости от конкретной ситуации</w:t>
      </w:r>
      <w:proofErr w:type="gramEnd"/>
      <w:r w:rsidRPr="00E2372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возникающих потребностей и приоритетов очень низкий. Частные медицинские учреждения государственными средствами не располагают.</w:t>
      </w:r>
    </w:p>
    <w:p w:rsidR="00E23724" w:rsidRPr="00E23724" w:rsidRDefault="00E23724" w:rsidP="00E2372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2005 года в Украине проводилась экспериментальная апробация новой модели автономизации медицинских учреждений. Эксперимент проводился в рамках проекта ЕС «Финансирование и управление в сфере здравоохранения в Украине». Суть эксперимента заключалась в разделении функций покупателей и поставщиков медицинских услуг. Бюджетные учреждения здравоохранения в выбранных районах были преобразованы в коммунальные не коммерческие предприятия. Данный организационно-правовой вид осуществления хозяйственной деятельности позволяет уйти от сметного финансирования медицинской организации, заключать с ней контракты на поставку медицинских услуг и предоставляет ей более широкие права в части самостоятельного расходования получаемых средств. </w:t>
      </w:r>
      <w:proofErr w:type="gramStart"/>
      <w:r w:rsidRPr="00E2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качестве помехи на пути внедрения такой модели стал ряд правовых и административных </w:t>
      </w:r>
      <w:r w:rsidRPr="00E237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преград, которые заключались в том, что между хозяйственным кодексом и налоговым законодательством возникли противоречия, которые заключались в том, что налоговые власти отказывались регистрировать некоммерческие предприятия как освобожденные от уплаты налога на прибыль некоммерческие организации, так как некоммерческие предприятия не освобождаются от уплаты земельного налога.</w:t>
      </w:r>
      <w:proofErr w:type="gramEnd"/>
      <w:r w:rsidRPr="00E2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этим возник риск того, что медицинским учреждениям, которые </w:t>
      </w:r>
      <w:proofErr w:type="gramStart"/>
      <w:r w:rsidRPr="00E2372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подвержены реорганизации придется</w:t>
      </w:r>
      <w:proofErr w:type="gramEnd"/>
      <w:r w:rsidRPr="00E2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оплачивать коммунальные платежи значительно больше чем бюджетные учреждения. Помимо этого, оказывается сопротивление финансовых органов каким-либо изменениям статуса бюджетного учреждения из-за возможной утраты контроля над финансированием подобных учреждений.</w:t>
      </w:r>
    </w:p>
    <w:p w:rsidR="00E23724" w:rsidRPr="00E23724" w:rsidRDefault="00E23724" w:rsidP="00E2372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7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 решение этой проблемы является актуальным вопросом в наши дни, так как предоставление автономности в отношении самостоятельного расходования получаемых средств медицинским учреждением позволит осуществлять более целесообразное их использование, что улучшит качество медицинского обеспечения населения.</w:t>
      </w:r>
    </w:p>
    <w:p w:rsidR="00E23724" w:rsidRPr="00E23724" w:rsidRDefault="00E23724" w:rsidP="00E23724">
      <w:pPr>
        <w:keepNext/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37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Используемая литература</w:t>
      </w:r>
    </w:p>
    <w:p w:rsidR="00E23724" w:rsidRPr="00E23724" w:rsidRDefault="00E23724" w:rsidP="00E23724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724">
        <w:rPr>
          <w:rFonts w:ascii="Times New Roman" w:eastAsia="Calibri" w:hAnsi="Times New Roman" w:cs="Times New Roman"/>
          <w:sz w:val="28"/>
          <w:szCs w:val="28"/>
          <w:lang w:eastAsia="ru-RU"/>
        </w:rPr>
        <w:t>В. </w:t>
      </w:r>
      <w:proofErr w:type="spellStart"/>
      <w:r w:rsidRPr="00E23724">
        <w:rPr>
          <w:rFonts w:ascii="Times New Roman" w:eastAsia="Calibri" w:hAnsi="Times New Roman" w:cs="Times New Roman"/>
          <w:sz w:val="28"/>
          <w:szCs w:val="28"/>
          <w:lang w:eastAsia="ru-RU"/>
        </w:rPr>
        <w:t>Лехан</w:t>
      </w:r>
      <w:proofErr w:type="spellEnd"/>
      <w:r w:rsidRPr="00E237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В. Рудный, С. Шишкин, “Система финансирования здравоохранения в Украине и пути ее реформирования” [Электронный ресурс]. – Режим доступа: </w:t>
      </w:r>
      <w:hyperlink r:id="rId6" w:history="1">
        <w:r w:rsidRPr="00E2372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http://www.rusnauka.com/18_EN_2009/Economics/48623.doc.htm</w:t>
        </w:r>
      </w:hyperlink>
    </w:p>
    <w:p w:rsidR="00CC5365" w:rsidRPr="00E23724" w:rsidRDefault="00E23724" w:rsidP="00E23724">
      <w:pPr>
        <w:keepNext/>
        <w:widowControl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FFFFFF" w:themeColor="background1"/>
          <w:kern w:val="32"/>
          <w:sz w:val="28"/>
          <w:szCs w:val="32"/>
          <w:lang w:val="uk-UA" w:eastAsia="ru-RU"/>
        </w:rPr>
      </w:pPr>
      <w:bookmarkStart w:id="2" w:name="_Toc447181845"/>
      <w:r w:rsidRPr="00E23724">
        <w:rPr>
          <w:rFonts w:ascii="Times New Roman" w:eastAsia="Times New Roman" w:hAnsi="Times New Roman" w:cs="Times New Roman"/>
          <w:bCs/>
          <w:i/>
          <w:color w:val="FFFFFF" w:themeColor="background1"/>
          <w:kern w:val="32"/>
          <w:sz w:val="28"/>
          <w:szCs w:val="32"/>
          <w:lang w:eastAsia="ru-RU"/>
        </w:rPr>
        <w:t>Усенко С.Г., О</w:t>
      </w:r>
      <w:bookmarkEnd w:id="2"/>
    </w:p>
    <w:sectPr w:rsidR="00CC5365" w:rsidRPr="00E23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0212"/>
    <w:multiLevelType w:val="multilevel"/>
    <w:tmpl w:val="8EEECC3E"/>
    <w:styleLink w:val="3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4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4" w:hanging="567"/>
      </w:pPr>
      <w:rPr>
        <w:rFonts w:hint="default"/>
      </w:rPr>
    </w:lvl>
  </w:abstractNum>
  <w:abstractNum w:abstractNumId="1">
    <w:nsid w:val="38AC64D6"/>
    <w:multiLevelType w:val="multilevel"/>
    <w:tmpl w:val="8EEECC3E"/>
    <w:numStyleLink w:val="3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87"/>
    <w:rsid w:val="00065AA0"/>
    <w:rsid w:val="006811F8"/>
    <w:rsid w:val="00707071"/>
    <w:rsid w:val="00957187"/>
    <w:rsid w:val="00CC5365"/>
    <w:rsid w:val="00E2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E2372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E2372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nauka.com/18_EN_2009/Economics/48623.doc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2016-06-10T10:59:00Z</dcterms:created>
  <dcterms:modified xsi:type="dcterms:W3CDTF">2016-06-10T10:59:00Z</dcterms:modified>
</cp:coreProperties>
</file>