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E" w:rsidRPr="0077632E" w:rsidRDefault="0077632E" w:rsidP="00703F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32E">
        <w:rPr>
          <w:rFonts w:ascii="Times New Roman" w:hAnsi="Times New Roman" w:cs="Times New Roman"/>
          <w:sz w:val="28"/>
          <w:szCs w:val="28"/>
          <w:lang w:val="en-US"/>
        </w:rPr>
        <w:t xml:space="preserve">Age-dependent peculiarities modulation of activity of aldehyde scavenger enzymes in mitochondria of rat thigh muscle during stress </w:t>
      </w:r>
    </w:p>
    <w:p w:rsidR="00461F8A" w:rsidRPr="00461F8A" w:rsidRDefault="00EA0B2E" w:rsidP="00703F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V</w:t>
      </w:r>
      <w:r w:rsidR="00703F71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703F71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Grabovetskaya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</w:t>
      </w:r>
      <w:r w:rsidR="00703F71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R</w:t>
      </w:r>
      <w:r w:rsidR="00703F71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Amjad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Hamdallah</w:t>
      </w:r>
      <w:proofErr w:type="spellEnd"/>
    </w:p>
    <w:p w:rsidR="00461F8A" w:rsidRPr="007D74E2" w:rsidRDefault="00461F8A" w:rsidP="00461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2792" w:rsidRDefault="00703F71" w:rsidP="00A0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703F71">
        <w:rPr>
          <w:rFonts w:ascii="Times New Roman" w:hAnsi="Times New Roman" w:cs="Times New Roman"/>
          <w:sz w:val="28"/>
          <w:szCs w:val="28"/>
          <w:lang w:val="en-US"/>
        </w:rPr>
        <w:t>Structure and properties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skeletal muscles </w:t>
      </w:r>
      <w:r>
        <w:rPr>
          <w:rFonts w:ascii="Times New Roman" w:hAnsi="Times New Roman" w:cs="Times New Roman"/>
          <w:sz w:val="28"/>
          <w:szCs w:val="28"/>
          <w:lang w:val="en"/>
        </w:rPr>
        <w:t>change d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ur</w:t>
      </w:r>
      <w:r>
        <w:rPr>
          <w:rFonts w:ascii="Times New Roman" w:hAnsi="Times New Roman" w:cs="Times New Roman"/>
          <w:sz w:val="28"/>
          <w:szCs w:val="28"/>
          <w:lang w:val="en"/>
        </w:rPr>
        <w:t>ing ontogenesis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"/>
        </w:rPr>
        <w:t>Late ontogenesis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is ch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aracterized by development of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- condition accompanied by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 xml:space="preserve"> loss of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muscle mass and strength of muscle contraction (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Bautmans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2009;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Naricini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Maffulli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2010). </w:t>
      </w:r>
      <w:proofErr w:type="spellStart"/>
      <w:r w:rsidR="006A4475"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is one of the global pr</w:t>
      </w:r>
      <w:r w:rsidR="00583FAE">
        <w:rPr>
          <w:rFonts w:ascii="Times New Roman" w:hAnsi="Times New Roman" w:cs="Times New Roman"/>
          <w:sz w:val="28"/>
          <w:szCs w:val="28"/>
          <w:lang w:val="en"/>
        </w:rPr>
        <w:t>oblems of old people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583FAE">
        <w:rPr>
          <w:rFonts w:ascii="Times New Roman" w:hAnsi="Times New Roman" w:cs="Times New Roman"/>
          <w:sz w:val="28"/>
          <w:szCs w:val="28"/>
          <w:lang w:val="en"/>
        </w:rPr>
        <w:t xml:space="preserve"> which leads to decreased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q</w:t>
      </w:r>
      <w:r w:rsidR="00583FAE">
        <w:rPr>
          <w:rFonts w:ascii="Times New Roman" w:hAnsi="Times New Roman" w:cs="Times New Roman"/>
          <w:sz w:val="28"/>
          <w:szCs w:val="28"/>
          <w:lang w:val="en"/>
        </w:rPr>
        <w:t xml:space="preserve">uality of life and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acceleration of death (Rossi et al., 2008;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Naricini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Maffulli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2010). 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>Notwithstanding</w:t>
      </w:r>
      <w:r w:rsidR="004D3E63">
        <w:rPr>
          <w:rFonts w:ascii="Times New Roman" w:hAnsi="Times New Roman" w:cs="Times New Roman"/>
          <w:sz w:val="28"/>
          <w:szCs w:val="28"/>
          <w:lang w:val="en"/>
        </w:rPr>
        <w:t xml:space="preserve"> widespread </w:t>
      </w:r>
      <w:proofErr w:type="spellStart"/>
      <w:r w:rsidR="004D3E63"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 w:rsidR="004D3E6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 xml:space="preserve">during </w:t>
      </w:r>
      <w:r w:rsidR="00863AF8" w:rsidRPr="00461F8A">
        <w:rPr>
          <w:rFonts w:ascii="Times New Roman" w:hAnsi="Times New Roman" w:cs="Times New Roman"/>
          <w:sz w:val="28"/>
          <w:szCs w:val="28"/>
          <w:lang w:val="en"/>
        </w:rPr>
        <w:t>aging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mechanisms of its pathogenesis </w:t>
      </w:r>
      <w:r w:rsidR="00A02792">
        <w:rPr>
          <w:rFonts w:ascii="Times New Roman" w:hAnsi="Times New Roman" w:cs="Times New Roman"/>
          <w:sz w:val="28"/>
          <w:szCs w:val="28"/>
          <w:lang w:val="en"/>
        </w:rPr>
        <w:t>are still not clear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A02792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A0279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xidative stress (Chen et al., 2008; </w:t>
      </w:r>
      <w:proofErr w:type="spellStart"/>
      <w:r w:rsidR="00A02792" w:rsidRPr="00461F8A">
        <w:rPr>
          <w:rFonts w:ascii="Times New Roman" w:hAnsi="Times New Roman" w:cs="Times New Roman"/>
          <w:sz w:val="28"/>
          <w:szCs w:val="28"/>
          <w:lang w:val="en"/>
        </w:rPr>
        <w:t>Hindle</w:t>
      </w:r>
      <w:proofErr w:type="spellEnd"/>
      <w:r w:rsidR="00A0279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2010)</w:t>
      </w:r>
      <w:r w:rsidR="00A0279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and mitochondrial dysfunction</w:t>
      </w:r>
      <w:r w:rsidR="00A02792">
        <w:rPr>
          <w:rFonts w:ascii="Times New Roman" w:hAnsi="Times New Roman" w:cs="Times New Roman"/>
          <w:sz w:val="28"/>
          <w:szCs w:val="28"/>
          <w:lang w:val="en"/>
        </w:rPr>
        <w:t xml:space="preserve"> are considered to be significant for </w:t>
      </w:r>
      <w:proofErr w:type="spellStart"/>
      <w:r w:rsidR="00A02792"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 w:rsidR="00A0279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development (Kang et al., 2013;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Marzetti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2013).</w:t>
      </w:r>
    </w:p>
    <w:p w:rsidR="003B27DF" w:rsidRDefault="00AA2B2B" w:rsidP="00703F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Damage of a cell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in oxidativ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 stress is due to accumulation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aldehyde product</w:t>
      </w:r>
      <w:r>
        <w:rPr>
          <w:rFonts w:ascii="Times New Roman" w:hAnsi="Times New Roman" w:cs="Times New Roman"/>
          <w:sz w:val="28"/>
          <w:szCs w:val="28"/>
          <w:lang w:val="en"/>
        </w:rPr>
        <w:t>s of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54B0D">
        <w:rPr>
          <w:rFonts w:ascii="Times New Roman" w:hAnsi="Times New Roman" w:cs="Times New Roman"/>
          <w:sz w:val="28"/>
          <w:szCs w:val="28"/>
          <w:lang w:val="en"/>
        </w:rPr>
        <w:t>free radical oxidation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(Uchida, 2000). 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All mentioned facts allow assuming that resistance to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056C60" w:rsidRPr="00461F8A"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 w:rsidR="00056C60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 xml:space="preserve">development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s largely dependent on the condition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of the mitochondrial system 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056C60" w:rsidRPr="00461F8A">
        <w:rPr>
          <w:rFonts w:ascii="Times New Roman" w:hAnsi="Times New Roman" w:cs="Times New Roman"/>
          <w:sz w:val="28"/>
          <w:szCs w:val="28"/>
          <w:lang w:val="en"/>
        </w:rPr>
        <w:t xml:space="preserve">endogenous aldehydes 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catabolism. This system includes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aldehyde dehydrogenase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s (AL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DH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)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, aldehyde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020B4E">
        <w:rPr>
          <w:rFonts w:ascii="Times New Roman" w:hAnsi="Times New Roman" w:cs="Times New Roman"/>
          <w:sz w:val="28"/>
          <w:szCs w:val="28"/>
          <w:lang w:val="en"/>
        </w:rPr>
        <w:t>reductases</w:t>
      </w:r>
      <w:proofErr w:type="spellEnd"/>
      <w:r w:rsidR="00020B4E">
        <w:rPr>
          <w:rFonts w:ascii="Times New Roman" w:hAnsi="Times New Roman" w:cs="Times New Roman"/>
          <w:sz w:val="28"/>
          <w:szCs w:val="28"/>
          <w:lang w:val="en"/>
        </w:rPr>
        <w:t xml:space="preserve"> (AL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R) and glutathione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056C60">
        <w:rPr>
          <w:rFonts w:ascii="Times New Roman" w:hAnsi="Times New Roman" w:cs="Times New Roman"/>
          <w:sz w:val="28"/>
          <w:szCs w:val="28"/>
          <w:lang w:val="en"/>
        </w:rPr>
        <w:t>transferases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(GT) (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</w:t>
      </w:r>
      <w:proofErr w:type="gram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al .</w:t>
      </w:r>
      <w:proofErr w:type="gram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2004;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2012)</w:t>
      </w:r>
      <w:r w:rsidR="00056C60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 However, they are still not investigated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 skeletal muscle. 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Peculiarities of modulation of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>ctivity of these enzymes under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 xml:space="preserve"> stimulated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 formation of </w:t>
      </w:r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free radical oxidation 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>carbonyl products, i.e.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during immobilization stress </w:t>
      </w:r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>(</w:t>
      </w:r>
      <w:proofErr w:type="spellStart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>Meerson</w:t>
      </w:r>
      <w:proofErr w:type="spellEnd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1984; </w:t>
      </w:r>
      <w:proofErr w:type="spellStart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>Shvets</w:t>
      </w:r>
      <w:proofErr w:type="spellEnd"/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2003), which, in turn, aggravates the 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development of </w:t>
      </w:r>
      <w:proofErr w:type="spellStart"/>
      <w:r w:rsidR="009F0A42">
        <w:rPr>
          <w:rFonts w:ascii="Times New Roman" w:hAnsi="Times New Roman" w:cs="Times New Roman"/>
          <w:sz w:val="28"/>
          <w:szCs w:val="28"/>
          <w:lang w:val="en"/>
        </w:rPr>
        <w:t>sarcopenia</w:t>
      </w:r>
      <w:proofErr w:type="spellEnd"/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 in</w:t>
      </w:r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aging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 xml:space="preserve"> are not </w:t>
      </w:r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studied </w:t>
      </w:r>
      <w:r w:rsidR="009F0A42">
        <w:rPr>
          <w:rFonts w:ascii="Times New Roman" w:hAnsi="Times New Roman" w:cs="Times New Roman"/>
          <w:sz w:val="28"/>
          <w:szCs w:val="28"/>
          <w:lang w:val="en"/>
        </w:rPr>
        <w:t>yet</w:t>
      </w:r>
      <w:r w:rsidR="009F0A42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(Chen et al., 2008). At the same time, we have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 xml:space="preserve"> previously shown that long-term immobilization of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animal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is a</w:t>
      </w:r>
      <w:r w:rsidR="006A4475">
        <w:rPr>
          <w:rFonts w:ascii="Times New Roman" w:hAnsi="Times New Roman" w:cs="Times New Roman"/>
          <w:sz w:val="28"/>
          <w:szCs w:val="28"/>
          <w:lang w:val="en"/>
        </w:rPr>
        <w:t xml:space="preserve">ccompanied </w:t>
      </w:r>
      <w:proofErr w:type="gramStart"/>
      <w:r w:rsidR="006A4475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age</w:t>
      </w:r>
      <w:proofErr w:type="gram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-specific changes in the manifestation of oxidative stress in skeletal muscle</w:t>
      </w:r>
      <w:r w:rsidR="00863AF8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2014). 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>Taking this into consideration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, t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>he aim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of the present study </w:t>
      </w:r>
      <w:r w:rsidR="001447C0">
        <w:rPr>
          <w:rFonts w:ascii="Times New Roman" w:hAnsi="Times New Roman" w:cs="Times New Roman"/>
          <w:sz w:val="28"/>
          <w:szCs w:val="28"/>
          <w:lang w:val="en"/>
        </w:rPr>
        <w:t>was the evaluation of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activity of </w:t>
      </w:r>
      <w:r w:rsidR="001447C0">
        <w:rPr>
          <w:rFonts w:ascii="Times New Roman" w:hAnsi="Times New Roman" w:cs="Times New Roman"/>
          <w:sz w:val="28"/>
          <w:szCs w:val="28"/>
          <w:lang w:val="en"/>
        </w:rPr>
        <w:t xml:space="preserve">endogenous aldehydes catabolizing </w:t>
      </w:r>
      <w:r w:rsidR="001447C0" w:rsidRPr="00461F8A">
        <w:rPr>
          <w:rFonts w:ascii="Times New Roman" w:hAnsi="Times New Roman" w:cs="Times New Roman"/>
          <w:sz w:val="28"/>
          <w:szCs w:val="28"/>
          <w:lang w:val="en"/>
        </w:rPr>
        <w:t xml:space="preserve">enzymes </w:t>
      </w:r>
      <w:r w:rsidR="001447C0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mitochondrial fraction 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 xml:space="preserve">from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thigh muscle </w:t>
      </w:r>
      <w:r w:rsidR="003B27DF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intact and immobilized rats of different ages.</w:t>
      </w:r>
    </w:p>
    <w:p w:rsidR="003B27DF" w:rsidRPr="003B27DF" w:rsidRDefault="00EA0B2E" w:rsidP="003B27D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3B27DF">
        <w:rPr>
          <w:rFonts w:ascii="Times New Roman" w:hAnsi="Times New Roman" w:cs="Times New Roman"/>
          <w:b/>
          <w:sz w:val="28"/>
          <w:szCs w:val="28"/>
          <w:lang w:val="en"/>
        </w:rPr>
        <w:t>Materials and methods</w:t>
      </w:r>
    </w:p>
    <w:p w:rsidR="00282EC3" w:rsidRDefault="00282EC3" w:rsidP="005204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ale </w:t>
      </w:r>
      <w:proofErr w:type="spellStart"/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>Wistar</w:t>
      </w:r>
      <w:proofErr w:type="spellEnd"/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 rat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of three different age groups (50 animals)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employed in the present study: 1 – 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1.5-month-old (pubertal);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2 – 12-month-old (adult); 3 – 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24-month-old (old) rats. Each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age group was divided into two subgroups: 1 – </w:t>
      </w:r>
      <w:r>
        <w:rPr>
          <w:rFonts w:ascii="Times New Roman" w:hAnsi="Times New Roman" w:cs="Times New Roman"/>
          <w:sz w:val="28"/>
          <w:szCs w:val="28"/>
          <w:lang w:val="en-US"/>
        </w:rPr>
        <w:t>intact animals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>2 – those affected by immo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bilization stress. </w:t>
      </w:r>
      <w:r w:rsidR="00376FDE">
        <w:rPr>
          <w:rFonts w:ascii="Times New Roman" w:hAnsi="Times New Roman" w:cs="Times New Roman"/>
          <w:sz w:val="28"/>
          <w:szCs w:val="28"/>
          <w:lang w:val="en-US"/>
        </w:rPr>
        <w:t xml:space="preserve">Immobilization stress was modeled by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>tying</w:t>
      </w:r>
      <w:r w:rsidR="00C20232">
        <w:rPr>
          <w:rFonts w:ascii="Times New Roman" w:hAnsi="Times New Roman" w:cs="Times New Roman"/>
          <w:sz w:val="28"/>
          <w:szCs w:val="28"/>
          <w:lang w:val="en-US"/>
        </w:rPr>
        <w:t xml:space="preserve"> of animals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 to a stati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onary plank for 5 h per day for </w:t>
      </w:r>
      <w:r w:rsidR="005204FB" w:rsidRPr="005204FB">
        <w:rPr>
          <w:rFonts w:ascii="Times New Roman" w:hAnsi="Times New Roman" w:cs="Times New Roman"/>
          <w:sz w:val="28"/>
          <w:szCs w:val="28"/>
          <w:lang w:val="en-US"/>
        </w:rPr>
        <w:t>2 days. The effectiveness of stres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s was controlled by </w:t>
      </w:r>
      <w:r>
        <w:rPr>
          <w:rFonts w:ascii="Times New Roman" w:hAnsi="Times New Roman" w:cs="Times New Roman"/>
          <w:sz w:val="28"/>
          <w:szCs w:val="28"/>
          <w:lang w:val="en-US"/>
        </w:rPr>
        <w:t>the level of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 epinephrine </w:t>
      </w:r>
      <w:r>
        <w:rPr>
          <w:rFonts w:ascii="Times New Roman" w:hAnsi="Times New Roman" w:cs="Times New Roman"/>
          <w:sz w:val="28"/>
          <w:szCs w:val="28"/>
          <w:lang w:val="en-US"/>
        </w:rPr>
        <w:t>in the blood</w:t>
      </w:r>
      <w:r w:rsidR="005204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129CD" w:rsidRDefault="005204FB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Rats were 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>decapitated</w:t>
      </w:r>
      <w:r w:rsidR="00B52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9F0" w:rsidRPr="00461F8A">
        <w:rPr>
          <w:rFonts w:ascii="Times New Roman" w:hAnsi="Times New Roman" w:cs="Times New Roman"/>
          <w:sz w:val="28"/>
          <w:szCs w:val="28"/>
          <w:lang w:val="en"/>
        </w:rPr>
        <w:t>under light ether anesthesia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5204FB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B529F0">
        <w:rPr>
          <w:rFonts w:ascii="Times New Roman" w:hAnsi="Times New Roman" w:cs="Times New Roman"/>
          <w:sz w:val="28"/>
          <w:szCs w:val="28"/>
          <w:lang w:val="en-US"/>
        </w:rPr>
        <w:t xml:space="preserve"> thigh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 xml:space="preserve"> muscle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removed and immediately 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>placed in chilled 0.9%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odium chloride solution. Pieces 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>of muscle tissue were thorou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ghly minced with scissors after </w:t>
      </w:r>
      <w:r w:rsidRPr="005204FB">
        <w:rPr>
          <w:rFonts w:ascii="Times New Roman" w:hAnsi="Times New Roman" w:cs="Times New Roman"/>
          <w:sz w:val="28"/>
          <w:szCs w:val="28"/>
          <w:lang w:val="en-US"/>
        </w:rPr>
        <w:t>washing from blood. Mince was mixed at a ratio of 1: 3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F2E73">
        <w:rPr>
          <w:rFonts w:ascii="Times New Roman" w:hAnsi="Times New Roman" w:cs="Times New Roman"/>
          <w:sz w:val="28"/>
          <w:szCs w:val="28"/>
          <w:lang w:val="en"/>
        </w:rPr>
        <w:t>(</w:t>
      </w:r>
      <w:proofErr w:type="spellStart"/>
      <w:r w:rsidR="000F2E73">
        <w:rPr>
          <w:rFonts w:ascii="Times New Roman" w:hAnsi="Times New Roman" w:cs="Times New Roman"/>
          <w:sz w:val="28"/>
          <w:szCs w:val="28"/>
          <w:lang w:val="en"/>
        </w:rPr>
        <w:t>weight: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volume</w:t>
      </w:r>
      <w:proofErr w:type="spellEnd"/>
      <w:r w:rsidRPr="005204FB">
        <w:rPr>
          <w:rFonts w:ascii="Times New Roman" w:hAnsi="Times New Roman" w:cs="Times New Roman"/>
          <w:sz w:val="28"/>
          <w:szCs w:val="28"/>
          <w:lang w:val="en"/>
        </w:rPr>
        <w:t>) with saline medium containing 0.05</w:t>
      </w:r>
      <w:r w:rsidR="000F2E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 xml:space="preserve">M </w:t>
      </w:r>
      <w:proofErr w:type="spellStart"/>
      <w:r w:rsidRPr="005204FB">
        <w:rPr>
          <w:rFonts w:ascii="Times New Roman" w:hAnsi="Times New Roman" w:cs="Times New Roman"/>
          <w:sz w:val="28"/>
          <w:szCs w:val="28"/>
          <w:lang w:val="en"/>
        </w:rPr>
        <w:t>Tris</w:t>
      </w:r>
      <w:proofErr w:type="spellEnd"/>
      <w:r w:rsidRPr="005204FB">
        <w:rPr>
          <w:rFonts w:ascii="Times New Roman" w:hAnsi="Times New Roman" w:cs="Times New Roman"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0.005</w:t>
      </w:r>
      <w:r w:rsidR="000F2E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M</w:t>
      </w:r>
      <w:r w:rsidR="000F2E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magnesium sulfa</w:t>
      </w:r>
      <w:r>
        <w:rPr>
          <w:rFonts w:ascii="Times New Roman" w:hAnsi="Times New Roman" w:cs="Times New Roman"/>
          <w:sz w:val="28"/>
          <w:szCs w:val="28"/>
          <w:lang w:val="en"/>
        </w:rPr>
        <w:t>te, and 0.001M</w:t>
      </w:r>
      <w:r w:rsidR="000F2E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EDTA (pH 7.4) and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 xml:space="preserve">then homogenized for 3 min in </w:t>
      </w:r>
      <w:r w:rsidR="001447C0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glass Potter-</w:t>
      </w:r>
      <w:proofErr w:type="spellStart"/>
      <w:r w:rsidRPr="005204FB">
        <w:rPr>
          <w:rFonts w:ascii="Times New Roman" w:hAnsi="Times New Roman" w:cs="Times New Roman"/>
          <w:sz w:val="28"/>
          <w:szCs w:val="28"/>
          <w:lang w:val="en"/>
        </w:rPr>
        <w:t>Elvehejm</w:t>
      </w:r>
      <w:proofErr w:type="spellEnd"/>
      <w:r w:rsidR="000F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homogenizer with PTFE pest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le. The homogenate was filtered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through 4 layers of gauze 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nd centrifuged at 1000 g for 10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min. The resulting supernatant wa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s transferred to clean tubes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 xml:space="preserve">and centrifuged at 10000 g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for 20 min. The precipitate was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washed twice in homogeni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zation medium at 10000 g for 20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min and used as a mitochondr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ial fraction. All fractionation </w:t>
      </w:r>
      <w:r w:rsidRPr="005204FB">
        <w:rPr>
          <w:rFonts w:ascii="Times New Roman" w:hAnsi="Times New Roman" w:cs="Times New Roman"/>
          <w:sz w:val="28"/>
          <w:szCs w:val="28"/>
          <w:lang w:val="en"/>
        </w:rPr>
        <w:t>procedures of muscle homogenate were performed at 4 – 5°C.</w:t>
      </w:r>
    </w:p>
    <w:p w:rsidR="009129CD" w:rsidRDefault="00020B4E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Activity of NAD-dependent AL</w:t>
      </w:r>
      <w:r w:rsidR="009129CD">
        <w:rPr>
          <w:rFonts w:ascii="Times New Roman" w:hAnsi="Times New Roman" w:cs="Times New Roman"/>
          <w:sz w:val="28"/>
          <w:szCs w:val="28"/>
          <w:lang w:val="en"/>
        </w:rPr>
        <w:t>DH</w:t>
      </w:r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Pirozhkov</w:t>
      </w:r>
      <w:proofErr w:type="spellEnd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Pan</w:t>
      </w:r>
      <w:r>
        <w:rPr>
          <w:rFonts w:ascii="Times New Roman" w:hAnsi="Times New Roman" w:cs="Times New Roman"/>
          <w:sz w:val="28"/>
          <w:szCs w:val="28"/>
          <w:lang w:val="en"/>
        </w:rPr>
        <w:t>chenko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1988), NADH-dependent AL</w:t>
      </w:r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R</w:t>
      </w:r>
      <w:r w:rsidR="009129CD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="009129CD">
        <w:rPr>
          <w:rFonts w:ascii="Times New Roman" w:hAnsi="Times New Roman" w:cs="Times New Roman"/>
          <w:sz w:val="28"/>
          <w:szCs w:val="28"/>
          <w:lang w:val="en"/>
        </w:rPr>
        <w:t>Srivastava</w:t>
      </w:r>
      <w:proofErr w:type="spellEnd"/>
      <w:r w:rsidR="009129CD">
        <w:rPr>
          <w:rFonts w:ascii="Times New Roman" w:hAnsi="Times New Roman" w:cs="Times New Roman"/>
          <w:sz w:val="28"/>
          <w:szCs w:val="28"/>
          <w:lang w:val="en"/>
        </w:rPr>
        <w:t xml:space="preserve"> et al., 2001) and G</w:t>
      </w:r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T (</w:t>
      </w:r>
      <w:proofErr w:type="spellStart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Mannervik</w:t>
      </w:r>
      <w:proofErr w:type="spellEnd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Guthenberg</w:t>
      </w:r>
      <w:proofErr w:type="spellEnd"/>
      <w:r w:rsidR="009129CD" w:rsidRPr="00461F8A">
        <w:rPr>
          <w:rFonts w:ascii="Times New Roman" w:hAnsi="Times New Roman" w:cs="Times New Roman"/>
          <w:sz w:val="28"/>
          <w:szCs w:val="28"/>
          <w:lang w:val="en"/>
        </w:rPr>
        <w:t>, 1981)</w:t>
      </w:r>
      <w:r w:rsidR="009129CD">
        <w:rPr>
          <w:rFonts w:ascii="Times New Roman" w:hAnsi="Times New Roman" w:cs="Times New Roman"/>
          <w:sz w:val="28"/>
          <w:szCs w:val="28"/>
          <w:lang w:val="en"/>
        </w:rPr>
        <w:t xml:space="preserve"> in t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he mitochondrial fraction </w:t>
      </w:r>
      <w:r w:rsidR="009129CD">
        <w:rPr>
          <w:rFonts w:ascii="Times New Roman" w:hAnsi="Times New Roman" w:cs="Times New Roman"/>
          <w:sz w:val="28"/>
          <w:szCs w:val="28"/>
          <w:lang w:val="en"/>
        </w:rPr>
        <w:t>of thigh muscle was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determined. </w:t>
      </w:r>
      <w:r w:rsidR="009129CD">
        <w:rPr>
          <w:rFonts w:ascii="Times New Roman" w:hAnsi="Times New Roman" w:cs="Times New Roman"/>
          <w:sz w:val="28"/>
          <w:szCs w:val="28"/>
          <w:lang w:val="en-US"/>
        </w:rPr>
        <w:t xml:space="preserve">Protein content in </w:t>
      </w:r>
      <w:r w:rsidR="009129CD" w:rsidRPr="009129CD">
        <w:rPr>
          <w:rFonts w:ascii="Times New Roman" w:hAnsi="Times New Roman" w:cs="Times New Roman"/>
          <w:sz w:val="28"/>
          <w:szCs w:val="28"/>
          <w:lang w:val="en-US"/>
        </w:rPr>
        <w:t>samples</w:t>
      </w:r>
      <w:r w:rsidR="00912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9CD" w:rsidRPr="009129CD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9129CD">
        <w:rPr>
          <w:rFonts w:ascii="Times New Roman" w:hAnsi="Times New Roman" w:cs="Times New Roman"/>
          <w:sz w:val="28"/>
          <w:szCs w:val="28"/>
          <w:lang w:val="en-US"/>
        </w:rPr>
        <w:t xml:space="preserve">determined by the Lowry method. </w:t>
      </w:r>
    </w:p>
    <w:p w:rsidR="009129CD" w:rsidRPr="009129CD" w:rsidRDefault="009129CD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9CD">
        <w:rPr>
          <w:rFonts w:ascii="Times New Roman" w:hAnsi="Times New Roman" w:cs="Times New Roman"/>
          <w:sz w:val="28"/>
          <w:szCs w:val="28"/>
          <w:lang w:val="en-US"/>
        </w:rPr>
        <w:t>Statistical calculati</w:t>
      </w:r>
      <w:r w:rsidR="00163E92">
        <w:rPr>
          <w:rFonts w:ascii="Times New Roman" w:hAnsi="Times New Roman" w:cs="Times New Roman"/>
          <w:sz w:val="28"/>
          <w:szCs w:val="28"/>
          <w:lang w:val="en-US"/>
        </w:rPr>
        <w:t>ons were done by means of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Excel and </w:t>
      </w:r>
      <w:r w:rsidRPr="009129CD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SPSS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Statіstіcs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17.0</w:t>
      </w:r>
      <w:r w:rsidRPr="009129C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1B89" w:rsidRPr="00461F8A">
        <w:rPr>
          <w:rFonts w:ascii="Times New Roman" w:hAnsi="Times New Roman" w:cs="Times New Roman"/>
          <w:sz w:val="28"/>
          <w:szCs w:val="28"/>
          <w:lang w:val="en"/>
        </w:rPr>
        <w:t>software</w:t>
      </w:r>
      <w:r w:rsidR="007C1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using Wilcoxon-Mann-</w:t>
      </w:r>
      <w:proofErr w:type="spellStart"/>
      <w:r w:rsidRPr="009129CD">
        <w:rPr>
          <w:rFonts w:ascii="Times New Roman" w:hAnsi="Times New Roman" w:cs="Times New Roman"/>
          <w:sz w:val="28"/>
          <w:szCs w:val="28"/>
          <w:lang w:val="en-US"/>
        </w:rPr>
        <w:t>Witney</w:t>
      </w:r>
      <w:proofErr w:type="spellEnd"/>
      <w:r w:rsidRPr="00912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nonparametric </w:t>
      </w:r>
      <w:r w:rsidRPr="009129CD">
        <w:rPr>
          <w:rFonts w:ascii="Times New Roman" w:hAnsi="Times New Roman" w:cs="Times New Roman"/>
          <w:sz w:val="28"/>
          <w:szCs w:val="28"/>
          <w:lang w:val="en-US"/>
        </w:rPr>
        <w:t>test. Differences between the data were considered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9CD">
        <w:rPr>
          <w:rFonts w:ascii="Times New Roman" w:hAnsi="Times New Roman" w:cs="Times New Roman"/>
          <w:sz w:val="28"/>
          <w:szCs w:val="28"/>
          <w:lang w:val="en-US"/>
        </w:rPr>
        <w:t xml:space="preserve">significant at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29CD">
        <w:rPr>
          <w:rFonts w:ascii="Times New Roman" w:hAnsi="Times New Roman" w:cs="Times New Roman"/>
          <w:sz w:val="28"/>
          <w:szCs w:val="28"/>
          <w:lang w:val="en-US"/>
        </w:rPr>
        <w:t>&lt;0.05.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7632E" w:rsidRDefault="0077632E" w:rsidP="00912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CD" w:rsidRPr="009129CD" w:rsidRDefault="00EA0B2E" w:rsidP="00912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9129CD"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>Results and discussion</w:t>
      </w:r>
    </w:p>
    <w:p w:rsidR="004D3F13" w:rsidRDefault="000D06B8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he table </w:t>
      </w:r>
      <w:r>
        <w:rPr>
          <w:rFonts w:ascii="Times New Roman" w:hAnsi="Times New Roman" w:cs="Times New Roman"/>
          <w:sz w:val="28"/>
          <w:szCs w:val="28"/>
          <w:lang w:val="en"/>
        </w:rPr>
        <w:t>shows changes</w:t>
      </w:r>
      <w:r w:rsidR="0024292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of NAD-dependent AL</w:t>
      </w:r>
      <w:r>
        <w:rPr>
          <w:rFonts w:ascii="Times New Roman" w:hAnsi="Times New Roman" w:cs="Times New Roman"/>
          <w:sz w:val="28"/>
          <w:szCs w:val="28"/>
          <w:lang w:val="en"/>
        </w:rPr>
        <w:t>DH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(NAD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-AL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DH) </w:t>
      </w:r>
      <w:r w:rsidR="00242923">
        <w:rPr>
          <w:rFonts w:ascii="Times New Roman" w:hAnsi="Times New Roman" w:cs="Times New Roman"/>
          <w:sz w:val="28"/>
          <w:szCs w:val="28"/>
          <w:lang w:val="en"/>
        </w:rPr>
        <w:t xml:space="preserve">activity </w:t>
      </w:r>
      <w:r>
        <w:rPr>
          <w:rFonts w:ascii="Times New Roman" w:hAnsi="Times New Roman" w:cs="Times New Roman"/>
          <w:sz w:val="28"/>
          <w:szCs w:val="28"/>
          <w:lang w:val="en"/>
        </w:rPr>
        <w:t>in the mitochondria from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thigh muscle</w:t>
      </w:r>
      <w:r w:rsidRPr="000D06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during ontogenesis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242923">
        <w:rPr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163E92">
        <w:rPr>
          <w:rFonts w:ascii="Times New Roman" w:hAnsi="Times New Roman" w:cs="Times New Roman"/>
          <w:sz w:val="28"/>
          <w:szCs w:val="28"/>
          <w:lang w:val="en"/>
        </w:rPr>
        <w:t xml:space="preserve">8 times </w:t>
      </w:r>
      <w:r w:rsidR="00242923">
        <w:rPr>
          <w:rFonts w:ascii="Times New Roman" w:hAnsi="Times New Roman" w:cs="Times New Roman"/>
          <w:sz w:val="28"/>
          <w:szCs w:val="28"/>
          <w:lang w:val="en"/>
        </w:rPr>
        <w:t>increases 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42923" w:rsidRPr="005204FB">
        <w:rPr>
          <w:rFonts w:ascii="Times New Roman" w:hAnsi="Times New Roman" w:cs="Times New Roman"/>
          <w:sz w:val="28"/>
          <w:szCs w:val="28"/>
          <w:lang w:val="en-US"/>
        </w:rPr>
        <w:t>12-month-old</w:t>
      </w:r>
      <w:r w:rsidR="00242923">
        <w:rPr>
          <w:rFonts w:ascii="Times New Roman" w:hAnsi="Times New Roman" w:cs="Times New Roman"/>
          <w:sz w:val="28"/>
          <w:szCs w:val="28"/>
          <w:lang w:val="en-US"/>
        </w:rPr>
        <w:t xml:space="preserve"> rats as compared to </w:t>
      </w:r>
      <w:r w:rsidR="00242923" w:rsidRPr="00461F8A">
        <w:rPr>
          <w:rFonts w:ascii="Times New Roman" w:hAnsi="Times New Roman" w:cs="Times New Roman"/>
          <w:sz w:val="28"/>
          <w:szCs w:val="28"/>
          <w:lang w:val="en"/>
        </w:rPr>
        <w:t>1.5-month-old animals</w:t>
      </w:r>
      <w:r w:rsidR="00EB22F2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DB4BFE" w:rsidRPr="00461F8A">
        <w:rPr>
          <w:rFonts w:ascii="Times New Roman" w:hAnsi="Times New Roman" w:cs="Times New Roman"/>
          <w:sz w:val="28"/>
          <w:szCs w:val="28"/>
          <w:lang w:val="en"/>
        </w:rPr>
        <w:t>3.6 times</w:t>
      </w:r>
      <w:r w:rsidR="00DB4BF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B22F2">
        <w:rPr>
          <w:rFonts w:ascii="Times New Roman" w:hAnsi="Times New Roman" w:cs="Times New Roman"/>
          <w:sz w:val="28"/>
          <w:szCs w:val="28"/>
          <w:lang w:val="en"/>
        </w:rPr>
        <w:t xml:space="preserve">decreases </w:t>
      </w:r>
      <w:r w:rsidR="00242923">
        <w:rPr>
          <w:rFonts w:ascii="Times New Roman" w:hAnsi="Times New Roman" w:cs="Times New Roman"/>
          <w:sz w:val="28"/>
          <w:szCs w:val="28"/>
          <w:lang w:val="en"/>
        </w:rPr>
        <w:t>in old rats as compared to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adults. </w:t>
      </w:r>
      <w:r w:rsidR="00EB22F2">
        <w:rPr>
          <w:rFonts w:ascii="Times New Roman" w:hAnsi="Times New Roman" w:cs="Times New Roman"/>
          <w:sz w:val="28"/>
          <w:szCs w:val="28"/>
          <w:lang w:val="en"/>
        </w:rPr>
        <w:t xml:space="preserve">At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the same time activity of NAD-AL</w:t>
      </w:r>
      <w:r w:rsidR="00EB22F2">
        <w:rPr>
          <w:rFonts w:ascii="Times New Roman" w:hAnsi="Times New Roman" w:cs="Times New Roman"/>
          <w:sz w:val="28"/>
          <w:szCs w:val="28"/>
          <w:lang w:val="en"/>
        </w:rPr>
        <w:t>DH 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old animals becomes 123% higher than in </w:t>
      </w:r>
      <w:r w:rsidR="00EB22F2">
        <w:rPr>
          <w:rFonts w:ascii="Times New Roman" w:hAnsi="Times New Roman" w:cs="Times New Roman"/>
          <w:sz w:val="28"/>
          <w:szCs w:val="28"/>
          <w:lang w:val="en"/>
        </w:rPr>
        <w:t>pubertal rats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Similarly, </w:t>
      </w:r>
      <w:r w:rsidR="00FC0AD9" w:rsidRPr="00461F8A">
        <w:rPr>
          <w:rFonts w:ascii="Times New Roman" w:hAnsi="Times New Roman" w:cs="Times New Roman"/>
          <w:sz w:val="28"/>
          <w:szCs w:val="28"/>
          <w:lang w:val="en"/>
        </w:rPr>
        <w:t>activity</w:t>
      </w:r>
      <w:r w:rsidR="00FC0AD9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FC0AD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NADH-dependent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AL</w:t>
      </w:r>
      <w:r w:rsidR="00FC0AD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R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 the thigh muscle mitochondrial fraction of 12-month-old animals </w:t>
      </w:r>
      <w:r w:rsidR="00FC0AD9"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t</w:t>
      </w:r>
      <w:r w:rsidR="00FC0AD9">
        <w:rPr>
          <w:rFonts w:ascii="Times New Roman" w:hAnsi="Times New Roman" w:cs="Times New Roman"/>
          <w:sz w:val="28"/>
          <w:szCs w:val="28"/>
          <w:lang w:val="en"/>
        </w:rPr>
        <w:t>wice higher than that 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1.5-month-old rats. </w:t>
      </w:r>
      <w:r w:rsidR="00E25A95">
        <w:rPr>
          <w:rFonts w:ascii="Times New Roman" w:hAnsi="Times New Roman" w:cs="Times New Roman"/>
          <w:sz w:val="28"/>
          <w:szCs w:val="28"/>
          <w:lang w:val="en"/>
        </w:rPr>
        <w:t xml:space="preserve">In 24-month-old animals it is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the</w:t>
      </w:r>
      <w:r w:rsidR="00E25A95">
        <w:rPr>
          <w:rFonts w:ascii="Times New Roman" w:hAnsi="Times New Roman" w:cs="Times New Roman"/>
          <w:sz w:val="28"/>
          <w:szCs w:val="28"/>
          <w:lang w:val="en"/>
        </w:rPr>
        <w:t xml:space="preserve"> same as 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1.5-month-old rats, but its value is 2.5 times lower than in adults. Activity </w:t>
      </w:r>
      <w:r w:rsidR="00383B66">
        <w:rPr>
          <w:rFonts w:ascii="Times New Roman" w:hAnsi="Times New Roman" w:cs="Times New Roman"/>
          <w:sz w:val="28"/>
          <w:szCs w:val="28"/>
          <w:lang w:val="en"/>
        </w:rPr>
        <w:t>of G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T in animals of all age groups studied is at the same level.</w:t>
      </w:r>
    </w:p>
    <w:p w:rsidR="00256F84" w:rsidRDefault="003B175D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Long-term immobilization of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1.5-month and 12-month-o</w:t>
      </w:r>
      <w:r>
        <w:rPr>
          <w:rFonts w:ascii="Times New Roman" w:hAnsi="Times New Roman" w:cs="Times New Roman"/>
          <w:sz w:val="28"/>
          <w:szCs w:val="28"/>
          <w:lang w:val="en"/>
        </w:rPr>
        <w:t>ld rats induces elevation of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AL</w:t>
      </w:r>
      <w:r>
        <w:rPr>
          <w:rFonts w:ascii="Times New Roman" w:hAnsi="Times New Roman" w:cs="Times New Roman"/>
          <w:sz w:val="28"/>
          <w:szCs w:val="28"/>
          <w:lang w:val="en"/>
        </w:rPr>
        <w:t>DH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activity in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mitochondrial fraction </w:t>
      </w:r>
      <w:r>
        <w:rPr>
          <w:rFonts w:ascii="Times New Roman" w:hAnsi="Times New Roman" w:cs="Times New Roman"/>
          <w:sz w:val="28"/>
          <w:szCs w:val="28"/>
          <w:lang w:val="en"/>
        </w:rPr>
        <w:t>from thigh muscle by 223% and 101%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respectively,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compared to their initial level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AL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R activity in the mitoc</w:t>
      </w:r>
      <w:r w:rsidR="00336B97">
        <w:rPr>
          <w:rFonts w:ascii="Times New Roman" w:hAnsi="Times New Roman" w:cs="Times New Roman"/>
          <w:sz w:val="28"/>
          <w:szCs w:val="28"/>
          <w:lang w:val="en"/>
        </w:rPr>
        <w:t>hondrial fraction of rat thigh muscle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36B97">
        <w:rPr>
          <w:rFonts w:ascii="Times New Roman" w:hAnsi="Times New Roman" w:cs="Times New Roman"/>
          <w:sz w:val="28"/>
          <w:szCs w:val="28"/>
          <w:lang w:val="en"/>
        </w:rPr>
        <w:t>in 1.5-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months </w:t>
      </w:r>
      <w:r w:rsidR="00336B97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immobilized </w:t>
      </w:r>
      <w:proofErr w:type="gramStart"/>
      <w:r w:rsidR="00256F84">
        <w:rPr>
          <w:rFonts w:ascii="Times New Roman" w:hAnsi="Times New Roman" w:cs="Times New Roman"/>
          <w:sz w:val="28"/>
          <w:szCs w:val="28"/>
          <w:lang w:val="en"/>
        </w:rPr>
        <w:t>rats</w:t>
      </w:r>
      <w:proofErr w:type="gramEnd"/>
      <w:r w:rsidR="00256F84">
        <w:rPr>
          <w:rFonts w:ascii="Times New Roman" w:hAnsi="Times New Roman" w:cs="Times New Roman"/>
          <w:sz w:val="28"/>
          <w:szCs w:val="28"/>
          <w:lang w:val="en"/>
        </w:rPr>
        <w:t xml:space="preserve"> decreases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by 41% </w:t>
      </w:r>
      <w:r w:rsidR="00336B97">
        <w:rPr>
          <w:rFonts w:ascii="Times New Roman" w:hAnsi="Times New Roman" w:cs="Times New Roman"/>
          <w:sz w:val="28"/>
          <w:szCs w:val="28"/>
          <w:lang w:val="en"/>
        </w:rPr>
        <w:t>as compared to its initial level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At the same time, </w:t>
      </w:r>
      <w:r w:rsidR="00256F84">
        <w:rPr>
          <w:rFonts w:ascii="Times New Roman" w:hAnsi="Times New Roman" w:cs="Times New Roman"/>
          <w:sz w:val="28"/>
          <w:szCs w:val="28"/>
          <w:lang w:val="en"/>
        </w:rPr>
        <w:t xml:space="preserve">there is no change in activity of the enzyme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in 12-month</w:t>
      </w:r>
      <w:r w:rsidR="00256F84">
        <w:rPr>
          <w:rFonts w:ascii="Times New Roman" w:hAnsi="Times New Roman" w:cs="Times New Roman"/>
          <w:sz w:val="28"/>
          <w:szCs w:val="28"/>
          <w:lang w:val="en"/>
        </w:rPr>
        <w:t>-old and 24-month-old animals under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im</w:t>
      </w:r>
      <w:r w:rsidR="00256F84">
        <w:rPr>
          <w:rFonts w:ascii="Times New Roman" w:hAnsi="Times New Roman" w:cs="Times New Roman"/>
          <w:sz w:val="28"/>
          <w:szCs w:val="28"/>
          <w:lang w:val="en"/>
        </w:rPr>
        <w:t>mobilization stress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GT activity </w:t>
      </w:r>
      <w:r w:rsidR="00985DDB">
        <w:rPr>
          <w:rFonts w:ascii="Times New Roman" w:hAnsi="Times New Roman" w:cs="Times New Roman"/>
          <w:sz w:val="28"/>
          <w:szCs w:val="28"/>
          <w:lang w:val="en"/>
        </w:rPr>
        <w:t>in the mitochondrial fraction from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rat </w:t>
      </w:r>
      <w:r w:rsidR="00FD5F9E">
        <w:rPr>
          <w:rFonts w:ascii="Times New Roman" w:hAnsi="Times New Roman" w:cs="Times New Roman"/>
          <w:sz w:val="28"/>
          <w:szCs w:val="28"/>
          <w:lang w:val="en"/>
        </w:rPr>
        <w:t>thigh muscle after immobilization</w:t>
      </w:r>
      <w:r w:rsidR="00FD5F9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25D8F">
        <w:rPr>
          <w:rFonts w:ascii="Times New Roman" w:hAnsi="Times New Roman" w:cs="Times New Roman"/>
          <w:sz w:val="28"/>
          <w:szCs w:val="28"/>
          <w:lang w:val="en"/>
        </w:rPr>
        <w:t>remain</w:t>
      </w:r>
      <w:r w:rsidR="00985DDB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at the initial level</w:t>
      </w:r>
      <w:r w:rsidR="00CD5069" w:rsidRPr="00CD506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D5069">
        <w:rPr>
          <w:rFonts w:ascii="Times New Roman" w:hAnsi="Times New Roman" w:cs="Times New Roman"/>
          <w:sz w:val="28"/>
          <w:szCs w:val="28"/>
          <w:lang w:val="en"/>
        </w:rPr>
        <w:t>in all</w:t>
      </w:r>
      <w:r w:rsidR="00CD506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investigated age groups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CE027F" w:rsidRDefault="00EA0B2E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461F8A">
        <w:rPr>
          <w:rFonts w:ascii="Times New Roman" w:hAnsi="Times New Roman" w:cs="Times New Roman"/>
          <w:sz w:val="28"/>
          <w:szCs w:val="28"/>
          <w:lang w:val="en"/>
        </w:rPr>
        <w:t>The resulting ch</w:t>
      </w:r>
      <w:r w:rsidR="00F6255E">
        <w:rPr>
          <w:rFonts w:ascii="Times New Roman" w:hAnsi="Times New Roman" w:cs="Times New Roman"/>
          <w:sz w:val="28"/>
          <w:szCs w:val="28"/>
          <w:lang w:val="en"/>
        </w:rPr>
        <w:t xml:space="preserve">anges are accompanied by </w:t>
      </w:r>
      <w:r w:rsidR="00F6255E">
        <w:rPr>
          <w:rFonts w:ascii="Times New Roman" w:hAnsi="Times New Roman" w:cs="Times New Roman"/>
          <w:sz w:val="28"/>
          <w:szCs w:val="28"/>
          <w:lang w:val="en-US"/>
        </w:rPr>
        <w:t>alteration of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the ratio of the index of 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investigated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enzymes </w:t>
      </w:r>
      <w:r w:rsidR="00F6255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activity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under stre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ss. This can lead to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the change of carbonyl </w:t>
      </w:r>
      <w:r w:rsidR="000E598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metabolic products 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>utilization pathways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n the muscle cells. The figure shows that </w:t>
      </w:r>
      <w:r w:rsidR="00194FF9">
        <w:rPr>
          <w:rFonts w:ascii="Times New Roman" w:hAnsi="Times New Roman" w:cs="Times New Roman"/>
          <w:sz w:val="28"/>
          <w:szCs w:val="28"/>
          <w:lang w:val="en"/>
        </w:rPr>
        <w:t>long-term</w:t>
      </w:r>
      <w:r w:rsidR="00194FF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immobilization</w:t>
      </w:r>
      <w:r w:rsidR="00194FF9">
        <w:rPr>
          <w:rFonts w:ascii="Times New Roman" w:hAnsi="Times New Roman" w:cs="Times New Roman"/>
          <w:sz w:val="28"/>
          <w:szCs w:val="28"/>
          <w:lang w:val="en"/>
        </w:rPr>
        <w:t xml:space="preserve"> causes elevation of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index value AL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>DH / G</w:t>
      </w:r>
      <w:r w:rsidR="000E598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T 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in 1.5- </w:t>
      </w:r>
      <w:r w:rsidR="000E598E" w:rsidRPr="00461F8A">
        <w:rPr>
          <w:rFonts w:ascii="Times New Roman" w:hAnsi="Times New Roman" w:cs="Times New Roman"/>
          <w:sz w:val="28"/>
          <w:szCs w:val="28"/>
          <w:lang w:val="en"/>
        </w:rPr>
        <w:t>and 12-month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-old </w:t>
      </w:r>
      <w:r w:rsidR="00194FF9">
        <w:rPr>
          <w:rFonts w:ascii="Times New Roman" w:hAnsi="Times New Roman" w:cs="Times New Roman"/>
          <w:sz w:val="28"/>
          <w:szCs w:val="28"/>
          <w:lang w:val="en"/>
        </w:rPr>
        <w:t>rats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 by 164% and 135% respectively as</w:t>
      </w:r>
      <w:r w:rsidR="00980545">
        <w:rPr>
          <w:rFonts w:ascii="Times New Roman" w:hAnsi="Times New Roman" w:cs="Times New Roman"/>
          <w:sz w:val="28"/>
          <w:szCs w:val="28"/>
          <w:lang w:val="en"/>
        </w:rPr>
        <w:t xml:space="preserve"> compared to the</w:t>
      </w:r>
      <w:r w:rsidR="000E598E">
        <w:rPr>
          <w:rFonts w:ascii="Times New Roman" w:hAnsi="Times New Roman" w:cs="Times New Roman"/>
          <w:sz w:val="28"/>
          <w:szCs w:val="28"/>
          <w:lang w:val="en"/>
        </w:rPr>
        <w:t xml:space="preserve"> initial value</w:t>
      </w:r>
      <w:r w:rsidR="00317DE8">
        <w:rPr>
          <w:rFonts w:ascii="Times New Roman" w:hAnsi="Times New Roman" w:cs="Times New Roman"/>
          <w:sz w:val="28"/>
          <w:szCs w:val="28"/>
          <w:lang w:val="en"/>
        </w:rPr>
        <w:t>. Simultaneously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317DE8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317DE8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index </w:t>
      </w:r>
      <w:r w:rsidR="00020B4E">
        <w:rPr>
          <w:rFonts w:ascii="Times New Roman" w:hAnsi="Times New Roman" w:cs="Times New Roman"/>
          <w:sz w:val="28"/>
          <w:szCs w:val="28"/>
          <w:lang w:val="en"/>
        </w:rPr>
        <w:t>AL</w:t>
      </w:r>
      <w:r w:rsidR="00DA5A8F">
        <w:rPr>
          <w:rFonts w:ascii="Times New Roman" w:hAnsi="Times New Roman" w:cs="Times New Roman"/>
          <w:sz w:val="28"/>
          <w:szCs w:val="28"/>
          <w:lang w:val="en"/>
        </w:rPr>
        <w:t>DH</w:t>
      </w:r>
      <w:r w:rsidR="00DA5A8F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/ ALR </w:t>
      </w:r>
      <w:r w:rsidR="00DA5A8F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DA5A8F" w:rsidRPr="00461F8A">
        <w:rPr>
          <w:rFonts w:ascii="Times New Roman" w:hAnsi="Times New Roman" w:cs="Times New Roman"/>
          <w:sz w:val="28"/>
          <w:szCs w:val="28"/>
          <w:lang w:val="en"/>
        </w:rPr>
        <w:t xml:space="preserve">1.5-month old animals </w:t>
      </w:r>
      <w:r w:rsidR="00317DE8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increases </w:t>
      </w:r>
      <w:r w:rsidR="00DA5A8F">
        <w:rPr>
          <w:rFonts w:ascii="Times New Roman" w:hAnsi="Times New Roman" w:cs="Times New Roman"/>
          <w:sz w:val="28"/>
          <w:szCs w:val="28"/>
          <w:lang w:val="en"/>
        </w:rPr>
        <w:t xml:space="preserve">by 259% as </w:t>
      </w:r>
      <w:r w:rsidR="00484190">
        <w:rPr>
          <w:rFonts w:ascii="Times New Roman" w:hAnsi="Times New Roman" w:cs="Times New Roman"/>
          <w:sz w:val="28"/>
          <w:szCs w:val="28"/>
          <w:lang w:val="en"/>
        </w:rPr>
        <w:t>compared with intact</w:t>
      </w:r>
      <w:r w:rsidR="00DA5A8F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A5A8F">
        <w:rPr>
          <w:rFonts w:ascii="Times New Roman" w:hAnsi="Times New Roman" w:cs="Times New Roman"/>
          <w:sz w:val="28"/>
          <w:szCs w:val="28"/>
          <w:lang w:val="en"/>
        </w:rPr>
        <w:t>rats</w:t>
      </w:r>
      <w:r w:rsidR="00484190">
        <w:rPr>
          <w:rFonts w:ascii="Times New Roman" w:hAnsi="Times New Roman" w:cs="Times New Roman"/>
          <w:sz w:val="28"/>
          <w:szCs w:val="28"/>
          <w:lang w:val="en"/>
        </w:rPr>
        <w:t xml:space="preserve"> of this age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DA5A8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5E48DC" w:rsidRDefault="00EA0B2E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A comprehensive assessment of the </w:t>
      </w:r>
      <w:r w:rsidR="00BA2ECE">
        <w:rPr>
          <w:rFonts w:ascii="Times New Roman" w:hAnsi="Times New Roman" w:cs="Times New Roman"/>
          <w:sz w:val="28"/>
          <w:szCs w:val="28"/>
          <w:lang w:val="en"/>
        </w:rPr>
        <w:t xml:space="preserve">obtained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results allows </w:t>
      </w:r>
      <w:r w:rsidR="008113B2" w:rsidRPr="00461F8A">
        <w:rPr>
          <w:rFonts w:ascii="Times New Roman" w:hAnsi="Times New Roman" w:cs="Times New Roman"/>
          <w:sz w:val="28"/>
          <w:szCs w:val="28"/>
          <w:lang w:val="en"/>
        </w:rPr>
        <w:t>concluding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tha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t </w:t>
      </w:r>
      <w:r w:rsidR="00BD107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adaptive changes 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develop along with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>igh basal aldehyde dehy</w:t>
      </w:r>
      <w:r w:rsidR="00BA2ECE">
        <w:rPr>
          <w:rFonts w:ascii="Times New Roman" w:hAnsi="Times New Roman" w:cs="Times New Roman"/>
          <w:sz w:val="28"/>
          <w:szCs w:val="28"/>
          <w:lang w:val="en"/>
        </w:rPr>
        <w:t>drogenase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 and aldehyde reductase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activity in mitochondria 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from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thigh muscle </w:t>
      </w:r>
      <w:r w:rsidR="008113B2">
        <w:rPr>
          <w:rFonts w:ascii="Times New Roman" w:hAnsi="Times New Roman" w:cs="Times New Roman"/>
          <w:sz w:val="28"/>
          <w:szCs w:val="28"/>
          <w:lang w:val="en"/>
        </w:rPr>
        <w:t>of adult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 mature animals</w:t>
      </w:r>
      <w:r w:rsidR="00BD1079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during immobilization</w:t>
      </w:r>
      <w:r w:rsidR="00BD1079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BA2ECE">
        <w:rPr>
          <w:rFonts w:ascii="Times New Roman" w:hAnsi="Times New Roman" w:cs="Times New Roman"/>
          <w:sz w:val="28"/>
          <w:szCs w:val="28"/>
          <w:lang w:val="en"/>
        </w:rPr>
        <w:t>These changes are aimed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A2ECE">
        <w:rPr>
          <w:rFonts w:ascii="Times New Roman" w:hAnsi="Times New Roman" w:cs="Times New Roman"/>
          <w:sz w:val="28"/>
          <w:szCs w:val="28"/>
          <w:lang w:val="en"/>
        </w:rPr>
        <w:t xml:space="preserve">to intensify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redox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lastRenderedPageBreak/>
        <w:t>reactions of endogenous aldeh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ydes. 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 xml:space="preserve">Elevation 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of the rate of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endogenous aldehydes </w:t>
      </w:r>
      <w:r w:rsidR="00D77043" w:rsidRPr="00461F8A">
        <w:rPr>
          <w:rFonts w:ascii="Times New Roman" w:hAnsi="Times New Roman" w:cs="Times New Roman"/>
          <w:sz w:val="28"/>
          <w:szCs w:val="28"/>
          <w:lang w:val="en"/>
        </w:rPr>
        <w:t>oxidation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 in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>aldehyde dehydrogenase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reaction</w:t>
      </w:r>
      <w:r w:rsidR="00D77043" w:rsidRPr="00D7704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>becomes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 particular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>ly important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>. Because of this, there is no accumulation of</w:t>
      </w:r>
      <w:r w:rsidR="00D77043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free radical oxidation products 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D77043" w:rsidRPr="00461F8A">
        <w:rPr>
          <w:rFonts w:ascii="Times New Roman" w:hAnsi="Times New Roman" w:cs="Times New Roman"/>
          <w:sz w:val="28"/>
          <w:szCs w:val="28"/>
          <w:lang w:val="en"/>
        </w:rPr>
        <w:t>protein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D77043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>(protein carbonyls, Schiff bases</w:t>
      </w:r>
      <w:r w:rsidR="00D77043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and TBA-reactive substances)</w:t>
      </w:r>
      <w:r w:rsidR="00D7704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312FA">
        <w:rPr>
          <w:rFonts w:ascii="Times New Roman" w:hAnsi="Times New Roman" w:cs="Times New Roman"/>
          <w:sz w:val="28"/>
          <w:szCs w:val="28"/>
          <w:lang w:val="en"/>
        </w:rPr>
        <w:t xml:space="preserve">in the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muscle tissue from </w:t>
      </w:r>
      <w:r w:rsidR="00E312FA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immobilized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rats </w:t>
      </w:r>
      <w:r w:rsidR="00E312FA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this ag</w:t>
      </w:r>
      <w:r w:rsidR="00E312FA">
        <w:rPr>
          <w:rFonts w:ascii="Times New Roman" w:hAnsi="Times New Roman" w:cs="Times New Roman"/>
          <w:sz w:val="28"/>
          <w:szCs w:val="28"/>
          <w:lang w:val="en"/>
        </w:rPr>
        <w:t>e group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, i</w:t>
      </w:r>
      <w:r w:rsidR="00E312FA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E312FA">
        <w:rPr>
          <w:rFonts w:ascii="Times New Roman" w:hAnsi="Times New Roman" w:cs="Times New Roman"/>
          <w:sz w:val="28"/>
          <w:szCs w:val="28"/>
          <w:lang w:val="en"/>
        </w:rPr>
        <w:t>., t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here are no manifestations of oxidative stress (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 xml:space="preserve"> al., 2014). Perhaps</w:t>
      </w:r>
      <w:r w:rsidR="008113B2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 xml:space="preserve"> this leads to lowering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E48DC" w:rsidRPr="00461F8A">
        <w:rPr>
          <w:rFonts w:ascii="Times New Roman" w:hAnsi="Times New Roman" w:cs="Times New Roman"/>
          <w:sz w:val="28"/>
          <w:szCs w:val="28"/>
          <w:lang w:val="en"/>
        </w:rPr>
        <w:t xml:space="preserve">of Schiff bases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level in the mitochondrial fraction</w:t>
      </w:r>
      <w:r w:rsidR="005E48DC">
        <w:rPr>
          <w:rFonts w:ascii="Times New Roman" w:hAnsi="Times New Roman" w:cs="Times New Roman"/>
          <w:sz w:val="28"/>
          <w:szCs w:val="28"/>
          <w:lang w:val="en"/>
        </w:rPr>
        <w:t xml:space="preserve"> in adult animals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8063BD" w:rsidRDefault="002B7703" w:rsidP="00912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="006279A3">
        <w:rPr>
          <w:rFonts w:ascii="Times New Roman" w:hAnsi="Times New Roman" w:cs="Times New Roman"/>
          <w:sz w:val="28"/>
          <w:szCs w:val="28"/>
          <w:lang w:val="en"/>
        </w:rPr>
        <w:t xml:space="preserve">table concentration of </w:t>
      </w:r>
      <w:r w:rsidR="00316F06" w:rsidRPr="00461F8A">
        <w:rPr>
          <w:rFonts w:ascii="Times New Roman" w:hAnsi="Times New Roman" w:cs="Times New Roman"/>
          <w:sz w:val="28"/>
          <w:szCs w:val="28"/>
          <w:lang w:val="en"/>
        </w:rPr>
        <w:t xml:space="preserve">free radical oxidation </w:t>
      </w:r>
      <w:r w:rsidR="00316F06">
        <w:rPr>
          <w:rFonts w:ascii="Times New Roman" w:hAnsi="Times New Roman" w:cs="Times New Roman"/>
          <w:sz w:val="28"/>
          <w:szCs w:val="28"/>
          <w:lang w:val="en"/>
        </w:rPr>
        <w:t xml:space="preserve">products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in mitochondr</w:t>
      </w:r>
      <w:r w:rsidR="00316F06">
        <w:rPr>
          <w:rFonts w:ascii="Times New Roman" w:hAnsi="Times New Roman" w:cs="Times New Roman"/>
          <w:sz w:val="28"/>
          <w:szCs w:val="28"/>
          <w:lang w:val="en"/>
        </w:rPr>
        <w:t xml:space="preserve">ia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old rats </w:t>
      </w:r>
      <w:r w:rsidR="00316F06">
        <w:rPr>
          <w:rFonts w:ascii="Times New Roman" w:hAnsi="Times New Roman" w:cs="Times New Roman"/>
          <w:sz w:val="28"/>
          <w:szCs w:val="28"/>
          <w:lang w:val="en"/>
        </w:rPr>
        <w:t>during immobilization stress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is maintained without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changes in the activity of </w:t>
      </w:r>
      <w:r w:rsidR="00316F06" w:rsidRPr="00461F8A">
        <w:rPr>
          <w:rFonts w:ascii="Times New Roman" w:hAnsi="Times New Roman" w:cs="Times New Roman"/>
          <w:sz w:val="28"/>
          <w:szCs w:val="28"/>
          <w:lang w:val="en"/>
        </w:rPr>
        <w:t xml:space="preserve">endogenous aldehydes </w:t>
      </w:r>
      <w:r w:rsidR="008113B2">
        <w:rPr>
          <w:rFonts w:ascii="Times New Roman" w:hAnsi="Times New Roman" w:cs="Times New Roman"/>
          <w:sz w:val="28"/>
          <w:szCs w:val="28"/>
          <w:lang w:val="en"/>
        </w:rPr>
        <w:t>catabolizing</w:t>
      </w:r>
      <w:r w:rsidR="008113B2" w:rsidRPr="008113B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113B2" w:rsidRPr="00461F8A">
        <w:rPr>
          <w:rFonts w:ascii="Times New Roman" w:hAnsi="Times New Roman" w:cs="Times New Roman"/>
          <w:sz w:val="28"/>
          <w:szCs w:val="28"/>
          <w:lang w:val="en"/>
        </w:rPr>
        <w:t>enzymes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. Therefore, lack of </w:t>
      </w:r>
      <w:r w:rsidR="008063BD" w:rsidRPr="00461F8A">
        <w:rPr>
          <w:rFonts w:ascii="Times New Roman" w:hAnsi="Times New Roman" w:cs="Times New Roman"/>
          <w:sz w:val="28"/>
          <w:szCs w:val="28"/>
          <w:lang w:val="en"/>
        </w:rPr>
        <w:t xml:space="preserve">oxidative stress </w:t>
      </w:r>
      <w:r w:rsidR="008063BD">
        <w:rPr>
          <w:rFonts w:ascii="Times New Roman" w:hAnsi="Times New Roman" w:cs="Times New Roman"/>
          <w:sz w:val="28"/>
          <w:szCs w:val="28"/>
          <w:lang w:val="en"/>
        </w:rPr>
        <w:t>manifestations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in </w:t>
      </w:r>
      <w:r w:rsidR="00391775">
        <w:rPr>
          <w:rFonts w:ascii="Times New Roman" w:hAnsi="Times New Roman" w:cs="Times New Roman"/>
          <w:sz w:val="28"/>
          <w:szCs w:val="28"/>
          <w:lang w:val="en"/>
        </w:rPr>
        <w:t>the mitochondria after long-term immobilization can be caused by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restriction of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prooxidant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effects </w:t>
      </w:r>
      <w:r w:rsidR="008063BD">
        <w:rPr>
          <w:rFonts w:ascii="Times New Roman" w:hAnsi="Times New Roman" w:cs="Times New Roman"/>
          <w:sz w:val="28"/>
          <w:szCs w:val="28"/>
          <w:lang w:val="en"/>
        </w:rPr>
        <w:t>on the body due to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063BD">
        <w:rPr>
          <w:rFonts w:ascii="Times New Roman" w:hAnsi="Times New Roman" w:cs="Times New Roman"/>
          <w:sz w:val="28"/>
          <w:szCs w:val="28"/>
          <w:lang w:val="en"/>
        </w:rPr>
        <w:t>suppression of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063BD" w:rsidRPr="00461F8A">
        <w:rPr>
          <w:rFonts w:ascii="Times New Roman" w:hAnsi="Times New Roman" w:cs="Times New Roman"/>
          <w:sz w:val="28"/>
          <w:szCs w:val="28"/>
          <w:lang w:val="en"/>
        </w:rPr>
        <w:t xml:space="preserve">tissues 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adrenoreactivity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during aging (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Michaliko</w:t>
      </w:r>
      <w:r w:rsidR="008063BD">
        <w:rPr>
          <w:rFonts w:ascii="Times New Roman" w:hAnsi="Times New Roman" w:cs="Times New Roman"/>
          <w:sz w:val="28"/>
          <w:szCs w:val="28"/>
          <w:lang w:val="en"/>
        </w:rPr>
        <w:t>va</w:t>
      </w:r>
      <w:proofErr w:type="spellEnd"/>
      <w:r w:rsidR="008063BD">
        <w:rPr>
          <w:rFonts w:ascii="Times New Roman" w:hAnsi="Times New Roman" w:cs="Times New Roman"/>
          <w:sz w:val="28"/>
          <w:szCs w:val="28"/>
          <w:lang w:val="en"/>
        </w:rPr>
        <w:t xml:space="preserve"> et al., 1990) or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antioxidant system </w:t>
      </w:r>
      <w:r w:rsidR="00DE2123">
        <w:rPr>
          <w:rFonts w:ascii="Times New Roman" w:hAnsi="Times New Roman" w:cs="Times New Roman"/>
          <w:sz w:val="28"/>
          <w:szCs w:val="28"/>
          <w:lang w:val="en"/>
        </w:rPr>
        <w:t xml:space="preserve">intensification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in the late ontogenesis (Lopez-Torres, Perez -Campo, 1992).</w:t>
      </w:r>
    </w:p>
    <w:p w:rsidR="00C65116" w:rsidRDefault="00DE2123" w:rsidP="00C65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Aldehyde dehydrogenase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activity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increases in the mitochondrial fraction from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the thigh muscle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1.</w:t>
      </w:r>
      <w:r>
        <w:rPr>
          <w:rFonts w:ascii="Times New Roman" w:hAnsi="Times New Roman" w:cs="Times New Roman"/>
          <w:sz w:val="28"/>
          <w:szCs w:val="28"/>
          <w:lang w:val="en"/>
        </w:rPr>
        <w:t>5-month-old rats after long-term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immobilizati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on similar to that in the adult animals. However, in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1.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5-month-old rats this phenomenon is accompanied by 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lowering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aldehyde reductase activity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 xml:space="preserve">. We can assume that </w:t>
      </w:r>
      <w:r w:rsidR="003A29F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 xml:space="preserve"> facts cause a sha</w:t>
      </w:r>
      <w:r w:rsidR="00947D89">
        <w:rPr>
          <w:rFonts w:ascii="Times New Roman" w:hAnsi="Times New Roman" w:cs="Times New Roman"/>
          <w:sz w:val="28"/>
          <w:szCs w:val="28"/>
          <w:lang w:val="en"/>
        </w:rPr>
        <w:t xml:space="preserve">rp decrease 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reductive 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 xml:space="preserve">pathway </w:t>
      </w:r>
      <w:r w:rsidR="003A29FB" w:rsidRPr="00461F8A">
        <w:rPr>
          <w:rFonts w:ascii="Times New Roman" w:hAnsi="Times New Roman" w:cs="Times New Roman"/>
          <w:sz w:val="28"/>
          <w:szCs w:val="28"/>
          <w:lang w:val="en"/>
        </w:rPr>
        <w:t xml:space="preserve">of endogenous aldehydes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catabolism and, as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 xml:space="preserve"> a consequence, development </w:t>
      </w:r>
      <w:r w:rsidR="00240FE8">
        <w:rPr>
          <w:rFonts w:ascii="Times New Roman" w:hAnsi="Times New Roman" w:cs="Times New Roman"/>
          <w:sz w:val="28"/>
          <w:szCs w:val="28"/>
          <w:lang w:val="en"/>
        </w:rPr>
        <w:t xml:space="preserve">of tense </w:t>
      </w:r>
      <w:r w:rsidR="003A29FB">
        <w:rPr>
          <w:rFonts w:ascii="Times New Roman" w:hAnsi="Times New Roman" w:cs="Times New Roman"/>
          <w:sz w:val="28"/>
          <w:szCs w:val="28"/>
          <w:lang w:val="en"/>
        </w:rPr>
        <w:t>state of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the utilization of </w:t>
      </w:r>
      <w:r w:rsidR="00240FE8" w:rsidRPr="00461F8A">
        <w:rPr>
          <w:rFonts w:ascii="Times New Roman" w:hAnsi="Times New Roman" w:cs="Times New Roman"/>
          <w:sz w:val="28"/>
          <w:szCs w:val="28"/>
          <w:lang w:val="en"/>
        </w:rPr>
        <w:t xml:space="preserve">free radical oxidation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carbony</w:t>
      </w:r>
      <w:r w:rsidR="00240FE8">
        <w:rPr>
          <w:rFonts w:ascii="Times New Roman" w:hAnsi="Times New Roman" w:cs="Times New Roman"/>
          <w:sz w:val="28"/>
          <w:szCs w:val="28"/>
          <w:lang w:val="en"/>
        </w:rPr>
        <w:t>l products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40FE8" w:rsidRPr="00461F8A">
        <w:rPr>
          <w:rFonts w:ascii="Times New Roman" w:hAnsi="Times New Roman" w:cs="Times New Roman"/>
          <w:sz w:val="28"/>
          <w:szCs w:val="28"/>
          <w:lang w:val="en"/>
        </w:rPr>
        <w:t>intensi</w:t>
      </w:r>
      <w:r w:rsidR="00240FE8">
        <w:rPr>
          <w:rFonts w:ascii="Times New Roman" w:hAnsi="Times New Roman" w:cs="Times New Roman"/>
          <w:sz w:val="28"/>
          <w:szCs w:val="28"/>
          <w:lang w:val="en"/>
        </w:rPr>
        <w:t>vely</w:t>
      </w:r>
      <w:r w:rsidR="00240FE8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generated by </w:t>
      </w:r>
      <w:r w:rsidR="00947D89">
        <w:rPr>
          <w:rFonts w:ascii="Times New Roman" w:hAnsi="Times New Roman" w:cs="Times New Roman"/>
          <w:sz w:val="28"/>
          <w:szCs w:val="28"/>
          <w:lang w:val="en"/>
        </w:rPr>
        <w:t>stress. This is manifested by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accumulation </w:t>
      </w:r>
      <w:r w:rsidR="001A3CAB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1A3CAB" w:rsidRPr="00461F8A">
        <w:rPr>
          <w:rFonts w:ascii="Times New Roman" w:hAnsi="Times New Roman" w:cs="Times New Roman"/>
          <w:sz w:val="28"/>
          <w:szCs w:val="28"/>
          <w:lang w:val="en"/>
        </w:rPr>
        <w:t xml:space="preserve">products of endogenous aldehydes transformation - </w:t>
      </w:r>
      <w:r w:rsidR="001A3CAB">
        <w:rPr>
          <w:rFonts w:ascii="Times New Roman" w:hAnsi="Times New Roman" w:cs="Times New Roman"/>
          <w:sz w:val="28"/>
          <w:szCs w:val="28"/>
          <w:lang w:val="en"/>
        </w:rPr>
        <w:t>protein</w:t>
      </w:r>
      <w:r w:rsidR="001A3CAB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A3CAB">
        <w:rPr>
          <w:rFonts w:ascii="Times New Roman" w:hAnsi="Times New Roman" w:cs="Times New Roman"/>
          <w:sz w:val="28"/>
          <w:szCs w:val="28"/>
          <w:lang w:val="en"/>
        </w:rPr>
        <w:t>carbonyls</w:t>
      </w:r>
      <w:r w:rsidR="001A3CAB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and Schiff bases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 the mitochondria </w:t>
      </w:r>
      <w:r w:rsidR="001A3CAB">
        <w:rPr>
          <w:rFonts w:ascii="Times New Roman" w:hAnsi="Times New Roman" w:cs="Times New Roman"/>
          <w:sz w:val="28"/>
          <w:szCs w:val="28"/>
          <w:lang w:val="en"/>
        </w:rPr>
        <w:t xml:space="preserve">of the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thigh muscle (</w:t>
      </w:r>
      <w:proofErr w:type="spellStart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et al., 2014). A</w:t>
      </w:r>
      <w:r w:rsidR="00F1129A">
        <w:rPr>
          <w:rFonts w:ascii="Times New Roman" w:hAnsi="Times New Roman" w:cs="Times New Roman"/>
          <w:sz w:val="28"/>
          <w:szCs w:val="28"/>
          <w:lang w:val="en"/>
        </w:rPr>
        <w:t>ll these facts indicate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 xml:space="preserve"> a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limitation of the efficiency of 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>utilization</w:t>
      </w:r>
      <w:r w:rsidR="00C65116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F1129A" w:rsidRPr="00461F8A">
        <w:rPr>
          <w:rFonts w:ascii="Times New Roman" w:hAnsi="Times New Roman" w:cs="Times New Roman"/>
          <w:sz w:val="28"/>
          <w:szCs w:val="28"/>
          <w:lang w:val="en"/>
        </w:rPr>
        <w:t xml:space="preserve">free radical oxidation carbonyl products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 mitochondria </w:t>
      </w:r>
      <w:r w:rsidR="00F1129A">
        <w:rPr>
          <w:rFonts w:ascii="Times New Roman" w:hAnsi="Times New Roman" w:cs="Times New Roman"/>
          <w:sz w:val="28"/>
          <w:szCs w:val="28"/>
          <w:lang w:val="en"/>
        </w:rPr>
        <w:t>of muscle tissue in case of intensified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 xml:space="preserve"> generation under stress. This is followed by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increasing 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E55FC4" w:rsidRPr="00461F8A">
        <w:rPr>
          <w:rFonts w:ascii="Times New Roman" w:hAnsi="Times New Roman" w:cs="Times New Roman"/>
          <w:sz w:val="28"/>
          <w:szCs w:val="28"/>
          <w:lang w:val="en"/>
        </w:rPr>
        <w:t xml:space="preserve">skeletal muscle 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>sensitivi</w:t>
      </w:r>
      <w:r w:rsidR="00E55FC4">
        <w:rPr>
          <w:rFonts w:ascii="Times New Roman" w:hAnsi="Times New Roman" w:cs="Times New Roman"/>
          <w:sz w:val="28"/>
          <w:szCs w:val="28"/>
          <w:lang w:val="en"/>
        </w:rPr>
        <w:t xml:space="preserve">ty 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 xml:space="preserve">to the </w:t>
      </w:r>
      <w:r w:rsidR="00C65116" w:rsidRPr="00461F8A">
        <w:rPr>
          <w:rFonts w:ascii="Times New Roman" w:hAnsi="Times New Roman" w:cs="Times New Roman"/>
          <w:sz w:val="28"/>
          <w:szCs w:val="28"/>
          <w:lang w:val="en"/>
        </w:rPr>
        <w:t xml:space="preserve">stress </w:t>
      </w:r>
      <w:r w:rsidR="00C65116">
        <w:rPr>
          <w:rFonts w:ascii="Times New Roman" w:hAnsi="Times New Roman" w:cs="Times New Roman"/>
          <w:sz w:val="28"/>
          <w:szCs w:val="28"/>
          <w:lang w:val="en"/>
        </w:rPr>
        <w:t>damage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5FC4">
        <w:rPr>
          <w:rFonts w:ascii="Times New Roman" w:hAnsi="Times New Roman" w:cs="Times New Roman"/>
          <w:sz w:val="28"/>
          <w:szCs w:val="28"/>
          <w:lang w:val="en"/>
        </w:rPr>
        <w:t>during</w:t>
      </w:r>
      <w:r w:rsidR="00EA0B2E" w:rsidRPr="00461F8A">
        <w:rPr>
          <w:rFonts w:ascii="Times New Roman" w:hAnsi="Times New Roman" w:cs="Times New Roman"/>
          <w:sz w:val="28"/>
          <w:szCs w:val="28"/>
          <w:lang w:val="en"/>
        </w:rPr>
        <w:t xml:space="preserve"> adolescence.</w:t>
      </w:r>
    </w:p>
    <w:p w:rsidR="003661DC" w:rsidRPr="003661DC" w:rsidRDefault="00EA0B2E" w:rsidP="00811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1DC">
        <w:rPr>
          <w:rFonts w:ascii="Times New Roman" w:hAnsi="Times New Roman" w:cs="Times New Roman"/>
          <w:sz w:val="28"/>
          <w:szCs w:val="28"/>
          <w:lang w:val="en"/>
        </w:rPr>
        <w:t>This age</w:t>
      </w:r>
      <w:r w:rsidR="00E55FC4" w:rsidRPr="003661DC">
        <w:rPr>
          <w:rFonts w:ascii="Times New Roman" w:hAnsi="Times New Roman" w:cs="Times New Roman"/>
          <w:sz w:val="28"/>
          <w:szCs w:val="28"/>
          <w:lang w:val="en"/>
        </w:rPr>
        <w:t>-related phenomenon is not unique for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 skeleta</w:t>
      </w:r>
      <w:r w:rsidR="00E55FC4" w:rsidRPr="003661DC">
        <w:rPr>
          <w:rFonts w:ascii="Times New Roman" w:hAnsi="Times New Roman" w:cs="Times New Roman"/>
          <w:sz w:val="28"/>
          <w:szCs w:val="28"/>
          <w:lang w:val="en"/>
        </w:rPr>
        <w:t xml:space="preserve">l muscle, </w:t>
      </w:r>
      <w:r w:rsidR="00B63809" w:rsidRPr="003661DC">
        <w:rPr>
          <w:rFonts w:ascii="Times New Roman" w:hAnsi="Times New Roman" w:cs="Times New Roman"/>
          <w:sz w:val="28"/>
          <w:szCs w:val="28"/>
          <w:lang w:val="en"/>
        </w:rPr>
        <w:t xml:space="preserve">it is also found in </w:t>
      </w:r>
      <w:r w:rsidR="00E55FC4" w:rsidRPr="003661DC">
        <w:rPr>
          <w:rFonts w:ascii="Times New Roman" w:hAnsi="Times New Roman" w:cs="Times New Roman"/>
          <w:sz w:val="28"/>
          <w:szCs w:val="28"/>
          <w:lang w:val="en"/>
        </w:rPr>
        <w:t>myocardium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3661DC">
        <w:rPr>
          <w:rFonts w:ascii="Times New Roman" w:hAnsi="Times New Roman" w:cs="Times New Roman"/>
          <w:sz w:val="28"/>
          <w:szCs w:val="28"/>
          <w:lang w:val="en"/>
        </w:rPr>
        <w:t>Grabovetskaya</w:t>
      </w:r>
      <w:proofErr w:type="spellEnd"/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3661DC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, 2009), </w:t>
      </w:r>
      <w:r w:rsidR="00B63809" w:rsidRPr="003661DC">
        <w:rPr>
          <w:rFonts w:ascii="Times New Roman" w:hAnsi="Times New Roman" w:cs="Times New Roman"/>
          <w:sz w:val="28"/>
          <w:szCs w:val="28"/>
          <w:lang w:val="en"/>
        </w:rPr>
        <w:t xml:space="preserve">which means that it is generalized </w:t>
      </w:r>
      <w:r w:rsidR="00FC7091" w:rsidRPr="003661DC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CE4FE8" w:rsidRPr="003661D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>immobiliza</w:t>
      </w:r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 xml:space="preserve">tion stress. </w:t>
      </w:r>
      <w:r w:rsidR="00FC7091" w:rsidRPr="003661DC">
        <w:rPr>
          <w:rFonts w:ascii="Times New Roman" w:hAnsi="Times New Roman" w:cs="Times New Roman"/>
          <w:sz w:val="28"/>
          <w:szCs w:val="28"/>
          <w:lang w:val="en"/>
        </w:rPr>
        <w:t>It can be formed due to age-related alterations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of </w:t>
      </w:r>
      <w:proofErr w:type="spellStart"/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>isoenzyme</w:t>
      </w:r>
      <w:proofErr w:type="spellEnd"/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 xml:space="preserve"> composition 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>of mitochondrial aldehyde dehydrogenase</w:t>
      </w:r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 xml:space="preserve">and aldehyde </w:t>
      </w:r>
      <w:proofErr w:type="spellStart"/>
      <w:r w:rsidR="00023AF6" w:rsidRPr="003661DC">
        <w:rPr>
          <w:rFonts w:ascii="Times New Roman" w:hAnsi="Times New Roman" w:cs="Times New Roman"/>
          <w:sz w:val="28"/>
          <w:szCs w:val="28"/>
          <w:lang w:val="en"/>
        </w:rPr>
        <w:t>reductases</w:t>
      </w:r>
      <w:proofErr w:type="spellEnd"/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FC7091" w:rsidRPr="003661DC">
        <w:rPr>
          <w:rFonts w:ascii="Times New Roman" w:hAnsi="Times New Roman" w:cs="Times New Roman"/>
          <w:sz w:val="28"/>
          <w:szCs w:val="28"/>
          <w:lang w:val="en"/>
        </w:rPr>
        <w:t xml:space="preserve">They are, in turn, </w:t>
      </w:r>
      <w:r w:rsidR="006B2B5A">
        <w:rPr>
          <w:rFonts w:ascii="Times New Roman" w:hAnsi="Times New Roman" w:cs="Times New Roman"/>
          <w:sz w:val="28"/>
          <w:szCs w:val="28"/>
          <w:lang w:val="en"/>
        </w:rPr>
        <w:t>may be due to</w:t>
      </w:r>
      <w:r w:rsidRPr="003661DC">
        <w:rPr>
          <w:rFonts w:ascii="Times New Roman" w:hAnsi="Times New Roman" w:cs="Times New Roman"/>
          <w:sz w:val="28"/>
          <w:szCs w:val="28"/>
          <w:lang w:val="en"/>
        </w:rPr>
        <w:t xml:space="preserve"> peculiarities of the endocrine regulation of </w:t>
      </w:r>
      <w:r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the synthesis of </w:t>
      </w:r>
      <w:proofErr w:type="spellStart"/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>isoenzymes</w:t>
      </w:r>
      <w:proofErr w:type="spellEnd"/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3661DC">
        <w:rPr>
          <w:rFonts w:ascii="Times New Roman" w:hAnsi="Times New Roman" w:cs="Times New Roman"/>
          <w:sz w:val="28"/>
          <w:szCs w:val="28"/>
          <w:lang w:val="en-US"/>
        </w:rPr>
        <w:t>aldehyde dehydrogenase</w:t>
      </w:r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and aldehyde </w:t>
      </w:r>
      <w:proofErr w:type="spellStart"/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>reductases</w:t>
      </w:r>
      <w:proofErr w:type="spellEnd"/>
      <w:r w:rsidR="00FC7091"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9D114B" w:rsidRPr="003661DC">
        <w:rPr>
          <w:rFonts w:ascii="Times New Roman" w:hAnsi="Times New Roman" w:cs="Times New Roman"/>
          <w:sz w:val="28"/>
          <w:szCs w:val="28"/>
          <w:lang w:val="en-US"/>
        </w:rPr>
        <w:t>n tissues during</w:t>
      </w:r>
      <w:r w:rsidRPr="003661DC">
        <w:rPr>
          <w:rFonts w:ascii="Times New Roman" w:hAnsi="Times New Roman" w:cs="Times New Roman"/>
          <w:sz w:val="28"/>
          <w:szCs w:val="28"/>
          <w:lang w:val="en-US"/>
        </w:rPr>
        <w:t xml:space="preserve"> puberty. </w:t>
      </w:r>
      <w:r w:rsidR="003661DC" w:rsidRPr="003661DC">
        <w:rPr>
          <w:rFonts w:ascii="Times New Roman" w:hAnsi="Times New Roman" w:cs="Times New Roman"/>
          <w:sz w:val="28"/>
          <w:szCs w:val="28"/>
          <w:lang w:val="en-US"/>
        </w:rPr>
        <w:t>Our future researches will be devoted to these aspects.</w:t>
      </w:r>
    </w:p>
    <w:p w:rsidR="00490EF1" w:rsidRPr="00F6255E" w:rsidRDefault="00EA0B2E" w:rsidP="00366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Davydov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V</w:t>
      </w:r>
      <w:r w:rsidR="003661DC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3661DC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Grabovetskaya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E</w:t>
      </w:r>
      <w:r w:rsidR="003661DC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>R</w:t>
      </w:r>
      <w:r w:rsidR="003661DC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3661DC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1</w:t>
      </w:r>
      <w:r w:rsidR="003661DC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61F8A">
        <w:rPr>
          <w:rFonts w:ascii="Times New Roman" w:hAnsi="Times New Roman" w:cs="Times New Roman"/>
          <w:sz w:val="28"/>
          <w:szCs w:val="28"/>
          <w:lang w:val="en"/>
        </w:rPr>
        <w:t>Amjad</w:t>
      </w:r>
      <w:proofErr w:type="spellEnd"/>
      <w:r w:rsidRPr="00461F8A">
        <w:rPr>
          <w:rFonts w:ascii="Times New Roman" w:hAnsi="Times New Roman" w:cs="Times New Roman"/>
          <w:sz w:val="28"/>
          <w:szCs w:val="28"/>
          <w:lang w:val="en"/>
        </w:rPr>
        <w:t xml:space="preserve"> Hamdallah</w:t>
      </w:r>
      <w:r w:rsidRPr="003661DC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2</w:t>
      </w:r>
    </w:p>
    <w:p w:rsidR="00EA0B2E" w:rsidRPr="00F6255E" w:rsidRDefault="00EA0B2E" w:rsidP="00461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0B2E" w:rsidRPr="00461F8A" w:rsidRDefault="00EA0B2E" w:rsidP="002C7430">
      <w:pPr>
        <w:pStyle w:val="a3"/>
        <w:spacing w:line="360" w:lineRule="auto"/>
        <w:ind w:firstLine="708"/>
        <w:jc w:val="both"/>
        <w:rPr>
          <w:lang w:val="en-US"/>
        </w:rPr>
      </w:pPr>
      <w:r w:rsidRPr="00461F8A">
        <w:rPr>
          <w:lang w:val="en-US"/>
        </w:rPr>
        <w:t xml:space="preserve">The purpose of this study was a comparative investigation </w:t>
      </w:r>
      <w:r w:rsidR="006B2B5A">
        <w:rPr>
          <w:lang w:val="en-US"/>
        </w:rPr>
        <w:t xml:space="preserve">of </w:t>
      </w:r>
      <w:r w:rsidRPr="00461F8A">
        <w:rPr>
          <w:lang w:val="en-US"/>
        </w:rPr>
        <w:t>activity of e</w:t>
      </w:r>
      <w:r w:rsidR="006B2B5A">
        <w:rPr>
          <w:lang w:val="en-US"/>
        </w:rPr>
        <w:t xml:space="preserve">nzymes </w:t>
      </w:r>
      <w:r w:rsidRPr="00461F8A">
        <w:rPr>
          <w:lang w:val="en-US"/>
        </w:rPr>
        <w:t>utili</w:t>
      </w:r>
      <w:r w:rsidR="006B2B5A">
        <w:rPr>
          <w:lang w:val="en-US"/>
        </w:rPr>
        <w:t xml:space="preserve">zing endogenous aldehydes </w:t>
      </w:r>
      <w:r w:rsidRPr="00461F8A">
        <w:rPr>
          <w:lang w:val="en-US"/>
        </w:rPr>
        <w:t>in m</w:t>
      </w:r>
      <w:r w:rsidR="006B2B5A">
        <w:rPr>
          <w:lang w:val="en-US"/>
        </w:rPr>
        <w:t>itochondrial fraction of</w:t>
      </w:r>
      <w:r w:rsidR="002C7430">
        <w:rPr>
          <w:lang w:val="en-US"/>
        </w:rPr>
        <w:t xml:space="preserve"> a</w:t>
      </w:r>
      <w:r w:rsidR="006B2B5A">
        <w:rPr>
          <w:lang w:val="en-US"/>
        </w:rPr>
        <w:t xml:space="preserve"> thigh</w:t>
      </w:r>
      <w:r w:rsidRPr="00461F8A">
        <w:rPr>
          <w:lang w:val="en-US"/>
        </w:rPr>
        <w:t xml:space="preserve"> muscle in intact and immobilized rats of different ages. It has been shown that 12-mo</w:t>
      </w:r>
      <w:r w:rsidR="002C7430">
        <w:rPr>
          <w:lang w:val="en-US"/>
        </w:rPr>
        <w:t>nths-old (adult) rats have high</w:t>
      </w:r>
      <w:r w:rsidRPr="00461F8A">
        <w:rPr>
          <w:lang w:val="en-US"/>
        </w:rPr>
        <w:t xml:space="preserve"> basal levels of NAD–aldehyde dehydrogenase, NADH-aldehyde reductase and glutathione </w:t>
      </w:r>
      <w:proofErr w:type="spellStart"/>
      <w:r w:rsidRPr="00461F8A">
        <w:rPr>
          <w:lang w:val="en-US"/>
        </w:rPr>
        <w:t>transferase</w:t>
      </w:r>
      <w:proofErr w:type="spellEnd"/>
      <w:r w:rsidRPr="00461F8A">
        <w:rPr>
          <w:lang w:val="en-US"/>
        </w:rPr>
        <w:t xml:space="preserve"> activity in mitochondrial fraction of </w:t>
      </w:r>
      <w:r w:rsidR="002C7430">
        <w:rPr>
          <w:lang w:val="en-US"/>
        </w:rPr>
        <w:t xml:space="preserve">thigh muscle. </w:t>
      </w:r>
      <w:r w:rsidRPr="00461F8A">
        <w:rPr>
          <w:lang w:val="en-US"/>
        </w:rPr>
        <w:t>NAD–aldehyd</w:t>
      </w:r>
      <w:r w:rsidR="002C7430">
        <w:rPr>
          <w:lang w:val="en-US"/>
        </w:rPr>
        <w:t>e</w:t>
      </w:r>
      <w:r w:rsidR="008314D5">
        <w:rPr>
          <w:lang w:val="en-US"/>
        </w:rPr>
        <w:t xml:space="preserve"> dehydrogenase activity</w:t>
      </w:r>
      <w:r w:rsidRPr="00461F8A">
        <w:rPr>
          <w:lang w:val="en-US"/>
        </w:rPr>
        <w:t xml:space="preserve"> </w:t>
      </w:r>
      <w:r w:rsidR="002C7430">
        <w:rPr>
          <w:lang w:val="en-US"/>
        </w:rPr>
        <w:t xml:space="preserve">increases </w:t>
      </w:r>
      <w:r w:rsidRPr="00461F8A">
        <w:rPr>
          <w:lang w:val="en-US"/>
        </w:rPr>
        <w:t>during immobilization stress in adult r</w:t>
      </w:r>
      <w:r w:rsidR="008314D5">
        <w:rPr>
          <w:lang w:val="en-US"/>
        </w:rPr>
        <w:t>ats. These changes enhance</w:t>
      </w:r>
      <w:r w:rsidRPr="00461F8A">
        <w:rPr>
          <w:lang w:val="en-US"/>
        </w:rPr>
        <w:t xml:space="preserve"> the effectiveness of utilization of carbonyl products of free radical oxidation in mitochondria of skeletal muscle of 12-months-old rats d</w:t>
      </w:r>
      <w:r w:rsidR="00DE6894">
        <w:rPr>
          <w:lang w:val="en-US"/>
        </w:rPr>
        <w:t xml:space="preserve">uring stress. Immobilization of old and pubertal rats is accompanied by metabolic preconditions </w:t>
      </w:r>
      <w:r w:rsidRPr="00461F8A">
        <w:rPr>
          <w:lang w:val="en-US"/>
        </w:rPr>
        <w:t>lead</w:t>
      </w:r>
      <w:r w:rsidR="00DE6894">
        <w:rPr>
          <w:lang w:val="en-US"/>
        </w:rPr>
        <w:t>ing</w:t>
      </w:r>
      <w:r w:rsidRPr="00461F8A">
        <w:rPr>
          <w:lang w:val="en-US"/>
        </w:rPr>
        <w:t xml:space="preserve"> to accumulation of endogenous aldehydes in mitochondria, and, as a result, to the injury </w:t>
      </w:r>
      <w:r w:rsidR="00DE6894">
        <w:rPr>
          <w:lang w:val="en-US"/>
        </w:rPr>
        <w:t>of muscular fibers and intensification of</w:t>
      </w:r>
      <w:r w:rsidRPr="00461F8A">
        <w:rPr>
          <w:lang w:val="en-US"/>
        </w:rPr>
        <w:t xml:space="preserve"> </w:t>
      </w:r>
      <w:proofErr w:type="spellStart"/>
      <w:r w:rsidR="00DE6894" w:rsidRPr="00461F8A">
        <w:rPr>
          <w:lang w:val="en-US"/>
        </w:rPr>
        <w:t>sarcopenia</w:t>
      </w:r>
      <w:proofErr w:type="spellEnd"/>
      <w:r w:rsidR="00DE6894" w:rsidRPr="00461F8A">
        <w:rPr>
          <w:lang w:val="en-US"/>
        </w:rPr>
        <w:t xml:space="preserve"> </w:t>
      </w:r>
      <w:r w:rsidR="00DE6894">
        <w:rPr>
          <w:lang w:val="en-US"/>
        </w:rPr>
        <w:t>manifestations</w:t>
      </w:r>
      <w:r w:rsidRPr="00461F8A">
        <w:rPr>
          <w:lang w:val="en-US"/>
        </w:rPr>
        <w:t>.</w:t>
      </w:r>
    </w:p>
    <w:p w:rsidR="00EA0B2E" w:rsidRPr="00461F8A" w:rsidRDefault="00EA0B2E" w:rsidP="002C7430">
      <w:pPr>
        <w:pStyle w:val="a3"/>
        <w:spacing w:line="360" w:lineRule="auto"/>
        <w:ind w:firstLine="708"/>
        <w:jc w:val="both"/>
        <w:rPr>
          <w:lang w:val="en-US"/>
        </w:rPr>
      </w:pPr>
      <w:r w:rsidRPr="00461F8A">
        <w:rPr>
          <w:b/>
          <w:lang w:val="en-US"/>
        </w:rPr>
        <w:t>Key words:</w:t>
      </w:r>
      <w:r w:rsidRPr="00461F8A">
        <w:rPr>
          <w:lang w:val="en-US"/>
        </w:rPr>
        <w:t xml:space="preserve"> al</w:t>
      </w:r>
      <w:r w:rsidR="00DE6894">
        <w:rPr>
          <w:lang w:val="en-US"/>
        </w:rPr>
        <w:t>dehyde catabolism, mitochondria</w:t>
      </w:r>
      <w:r w:rsidRPr="00461F8A">
        <w:rPr>
          <w:lang w:val="en-US"/>
        </w:rPr>
        <w:t>, skeletal muscle, i</w:t>
      </w:r>
      <w:r w:rsidR="00DE6894">
        <w:rPr>
          <w:lang w:val="en-US"/>
        </w:rPr>
        <w:t>mmobilization stress, aging</w:t>
      </w:r>
      <w:r w:rsidRPr="00461F8A">
        <w:rPr>
          <w:lang w:val="en-US"/>
        </w:rPr>
        <w:t xml:space="preserve">, </w:t>
      </w:r>
      <w:proofErr w:type="spellStart"/>
      <w:r w:rsidRPr="00461F8A">
        <w:rPr>
          <w:lang w:val="en-US"/>
        </w:rPr>
        <w:t>sarcopenia</w:t>
      </w:r>
      <w:proofErr w:type="spellEnd"/>
      <w:r w:rsidR="00DE6894">
        <w:rPr>
          <w:lang w:val="en-US"/>
        </w:rPr>
        <w:t>.</w:t>
      </w: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C751D1" w:rsidRPr="00C751D1" w:rsidRDefault="00C751D1" w:rsidP="00C751D1">
      <w:pPr>
        <w:pStyle w:val="a3"/>
        <w:spacing w:line="360" w:lineRule="auto"/>
        <w:jc w:val="both"/>
        <w:rPr>
          <w:rStyle w:val="hps"/>
          <w:lang w:val="en-US"/>
        </w:rPr>
      </w:pPr>
    </w:p>
    <w:p w:rsidR="00C751D1" w:rsidRPr="004564BE" w:rsidRDefault="009C4B8F" w:rsidP="004564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Fig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The ratio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activities of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endogenous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aldehydes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113B2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catabolizing enzymes </w:t>
      </w:r>
      <w:r w:rsidR="007A47F6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mitochondria of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the thigh muscle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of rats of different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age groups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A47F6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under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normal </w:t>
      </w:r>
      <w:r w:rsidR="007A47F6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conditions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A47F6" w:rsidRPr="004564BE">
        <w:rPr>
          <w:rFonts w:ascii="Times New Roman" w:hAnsi="Times New Roman" w:cs="Times New Roman"/>
          <w:sz w:val="28"/>
          <w:szCs w:val="28"/>
          <w:lang w:val="en"/>
        </w:rPr>
        <w:t xml:space="preserve">after </w:t>
      </w:r>
      <w:r w:rsidR="00461F8A" w:rsidRPr="004564BE">
        <w:rPr>
          <w:rStyle w:val="hps"/>
          <w:rFonts w:ascii="Times New Roman" w:hAnsi="Times New Roman" w:cs="Times New Roman"/>
          <w:sz w:val="28"/>
          <w:szCs w:val="28"/>
          <w:lang w:val="en"/>
        </w:rPr>
        <w:t>immobilization stress</w:t>
      </w:r>
      <w:r w:rsidR="00461F8A">
        <w:rPr>
          <w:lang w:val="en"/>
        </w:rPr>
        <w:t xml:space="preserve"> </w:t>
      </w:r>
      <w:r w:rsidR="007A47F6" w:rsidRPr="004564BE">
        <w:rPr>
          <w:rFonts w:ascii="Times New Roman" w:hAnsi="Times New Roman" w:cs="Times New Roman"/>
          <w:sz w:val="28"/>
          <w:szCs w:val="28"/>
          <w:lang w:val="en"/>
        </w:rPr>
        <w:t>(</w:t>
      </w:r>
      <w:r w:rsidR="004564BE">
        <w:rPr>
          <w:rFonts w:ascii="Times New Roman" w:hAnsi="Times New Roman" w:cs="Times New Roman"/>
          <w:sz w:val="28"/>
          <w:szCs w:val="28"/>
          <w:lang w:val="en"/>
        </w:rPr>
        <w:t xml:space="preserve">Fig. </w:t>
      </w:r>
      <w:r w:rsidR="004564BE" w:rsidRPr="00461F8A">
        <w:rPr>
          <w:rFonts w:ascii="Times New Roman" w:hAnsi="Times New Roman" w:cs="Times New Roman"/>
          <w:sz w:val="28"/>
          <w:szCs w:val="28"/>
          <w:lang w:val="en-US"/>
        </w:rPr>
        <w:t>represents the average data from 6 investigations</w:t>
      </w:r>
      <w:r w:rsidR="00461F8A" w:rsidRPr="004564BE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</w:p>
    <w:p w:rsidR="00EA0B2E" w:rsidRPr="00461F8A" w:rsidRDefault="00C751D1" w:rsidP="00461F8A">
      <w:pPr>
        <w:pStyle w:val="a3"/>
        <w:spacing w:line="360" w:lineRule="auto"/>
        <w:ind w:firstLine="567"/>
        <w:jc w:val="both"/>
        <w:rPr>
          <w:lang w:val="en-US"/>
        </w:rPr>
      </w:pPr>
      <w:r>
        <w:rPr>
          <w:lang w:val="en"/>
        </w:rPr>
        <w:t>* - P &lt;0</w:t>
      </w:r>
      <w:proofErr w:type="gramStart"/>
      <w:r>
        <w:rPr>
          <w:lang w:val="en"/>
        </w:rPr>
        <w:t>,05</w:t>
      </w:r>
      <w:proofErr w:type="gramEnd"/>
      <w:r>
        <w:rPr>
          <w:lang w:val="en"/>
        </w:rPr>
        <w:t xml:space="preserve">, </w:t>
      </w:r>
      <w:proofErr w:type="spellStart"/>
      <w:r w:rsidR="004564BE">
        <w:rPr>
          <w:lang w:val="en"/>
        </w:rPr>
        <w:t>t</w:t>
      </w:r>
      <w:r w:rsidR="004564BE" w:rsidRPr="00461F8A">
        <w:rPr>
          <w:lang w:val="en-US"/>
        </w:rPr>
        <w:t>he</w:t>
      </w:r>
      <w:proofErr w:type="spellEnd"/>
      <w:r w:rsidRPr="00461F8A">
        <w:rPr>
          <w:lang w:val="en-US"/>
        </w:rPr>
        <w:t xml:space="preserve"> data are positively distinguished from intact1.5-months-old rats</w:t>
      </w:r>
      <w:r w:rsidR="00461F8A">
        <w:rPr>
          <w:lang w:val="en"/>
        </w:rPr>
        <w:t xml:space="preserve">; </w:t>
      </w:r>
      <w:r w:rsidR="00461F8A">
        <w:rPr>
          <w:rStyle w:val="hps"/>
          <w:lang w:val="en"/>
        </w:rPr>
        <w:t>** - P &lt;0,05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t</w:t>
      </w:r>
      <w:r w:rsidRPr="00461F8A">
        <w:rPr>
          <w:lang w:val="en-US"/>
        </w:rPr>
        <w:t>he</w:t>
      </w:r>
      <w:proofErr w:type="spellEnd"/>
      <w:r w:rsidRPr="00461F8A">
        <w:rPr>
          <w:lang w:val="en-US"/>
        </w:rPr>
        <w:t xml:space="preserve"> data are positively distinguished from intact rats of same age group</w:t>
      </w:r>
      <w:r w:rsidR="00461F8A">
        <w:rPr>
          <w:lang w:val="en"/>
        </w:rPr>
        <w:t xml:space="preserve">; </w:t>
      </w:r>
      <w:r w:rsidR="00461F8A">
        <w:rPr>
          <w:rStyle w:val="hps"/>
          <w:lang w:val="en"/>
        </w:rPr>
        <w:t>*** - P &lt;0,05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t</w:t>
      </w:r>
      <w:r w:rsidRPr="00461F8A">
        <w:rPr>
          <w:lang w:val="en-US"/>
        </w:rPr>
        <w:t>he</w:t>
      </w:r>
      <w:proofErr w:type="spellEnd"/>
      <w:r w:rsidRPr="00461F8A">
        <w:rPr>
          <w:lang w:val="en-US"/>
        </w:rPr>
        <w:t xml:space="preserve"> data </w:t>
      </w:r>
      <w:r>
        <w:rPr>
          <w:lang w:val="en-US"/>
        </w:rPr>
        <w:t xml:space="preserve">are </w:t>
      </w:r>
      <w:r w:rsidRPr="00461F8A">
        <w:rPr>
          <w:lang w:val="en-US"/>
        </w:rPr>
        <w:t>positively distinguished from  intact 12-months-old rats</w:t>
      </w: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pStyle w:val="a3"/>
        <w:spacing w:line="360" w:lineRule="auto"/>
        <w:jc w:val="both"/>
        <w:rPr>
          <w:lang w:val="en-US"/>
        </w:rPr>
      </w:pPr>
    </w:p>
    <w:p w:rsidR="00EA0B2E" w:rsidRPr="00461F8A" w:rsidRDefault="00461F8A" w:rsidP="00461F8A">
      <w:pPr>
        <w:pStyle w:val="a3"/>
        <w:spacing w:line="360" w:lineRule="auto"/>
        <w:ind w:left="1276" w:hanging="1276"/>
        <w:jc w:val="both"/>
        <w:rPr>
          <w:lang w:val="en-US"/>
        </w:rPr>
      </w:pPr>
      <w:proofErr w:type="gramStart"/>
      <w:r>
        <w:rPr>
          <w:rStyle w:val="hps"/>
          <w:lang w:val="en"/>
        </w:rPr>
        <w:t>Table</w:t>
      </w:r>
      <w:r w:rsidR="004564BE">
        <w:rPr>
          <w:rStyle w:val="hps"/>
          <w:lang w:val="en-US"/>
        </w:rPr>
        <w:t>.</w:t>
      </w:r>
      <w:proofErr w:type="gramEnd"/>
      <w:r>
        <w:rPr>
          <w:lang w:val="en"/>
        </w:rPr>
        <w:t xml:space="preserve"> </w:t>
      </w:r>
      <w:r w:rsidR="004564BE">
        <w:rPr>
          <w:rStyle w:val="hps"/>
          <w:lang w:val="en"/>
        </w:rPr>
        <w:t xml:space="preserve">Activity of </w:t>
      </w:r>
      <w:r w:rsidR="007C5074">
        <w:rPr>
          <w:rStyle w:val="hps"/>
          <w:lang w:val="en"/>
        </w:rPr>
        <w:t>endogenous</w:t>
      </w:r>
      <w:r w:rsidR="007C5074">
        <w:rPr>
          <w:lang w:val="en"/>
        </w:rPr>
        <w:t xml:space="preserve"> </w:t>
      </w:r>
      <w:r w:rsidR="007C5074">
        <w:rPr>
          <w:rStyle w:val="hps"/>
          <w:lang w:val="en"/>
        </w:rPr>
        <w:t>aldehydes</w:t>
      </w:r>
      <w:r w:rsidR="007C5074">
        <w:rPr>
          <w:lang w:val="en"/>
        </w:rPr>
        <w:t xml:space="preserve"> </w:t>
      </w:r>
      <w:r w:rsidR="004564BE">
        <w:rPr>
          <w:rStyle w:val="hps"/>
          <w:lang w:val="en"/>
        </w:rPr>
        <w:t>catabolizing</w:t>
      </w:r>
      <w:r>
        <w:rPr>
          <w:rStyle w:val="hps"/>
          <w:lang w:val="en"/>
        </w:rPr>
        <w:t xml:space="preserve"> </w:t>
      </w:r>
      <w:r w:rsidR="007C5074">
        <w:rPr>
          <w:rStyle w:val="hps"/>
          <w:lang w:val="en"/>
        </w:rPr>
        <w:t xml:space="preserve">enzymes </w:t>
      </w:r>
      <w:r>
        <w:rPr>
          <w:rStyle w:val="hps"/>
          <w:lang w:val="en"/>
        </w:rPr>
        <w:t>(</w:t>
      </w:r>
      <w:proofErr w:type="spellStart"/>
      <w:r>
        <w:rPr>
          <w:lang w:val="en"/>
        </w:rPr>
        <w:t>nmol</w:t>
      </w:r>
      <w:proofErr w:type="spellEnd"/>
      <w:r>
        <w:rPr>
          <w:lang w:val="en"/>
        </w:rPr>
        <w:t xml:space="preserve"> / </w:t>
      </w:r>
      <w:r>
        <w:rPr>
          <w:rStyle w:val="hps"/>
          <w:lang w:val="en"/>
        </w:rPr>
        <w:t>mg protein</w:t>
      </w:r>
      <w:r>
        <w:rPr>
          <w:lang w:val="en"/>
        </w:rPr>
        <w:t xml:space="preserve"> </w:t>
      </w:r>
      <w:r>
        <w:rPr>
          <w:rStyle w:val="hps"/>
          <w:lang w:val="en"/>
        </w:rPr>
        <w:t>•</w:t>
      </w:r>
      <w:r>
        <w:rPr>
          <w:lang w:val="en"/>
        </w:rPr>
        <w:t xml:space="preserve"> </w:t>
      </w:r>
      <w:r>
        <w:rPr>
          <w:rStyle w:val="hps"/>
          <w:lang w:val="en"/>
        </w:rPr>
        <w:t>min)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mitochondrial</w:t>
      </w:r>
      <w:r>
        <w:rPr>
          <w:lang w:val="en"/>
        </w:rPr>
        <w:t xml:space="preserve"> </w:t>
      </w:r>
      <w:r>
        <w:rPr>
          <w:rStyle w:val="hps"/>
          <w:lang w:val="en"/>
        </w:rPr>
        <w:t>fraction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thigh muscle</w:t>
      </w:r>
      <w:r>
        <w:rPr>
          <w:lang w:val="en"/>
        </w:rPr>
        <w:t xml:space="preserve"> </w:t>
      </w:r>
      <w:r>
        <w:rPr>
          <w:rStyle w:val="hps"/>
          <w:lang w:val="en"/>
        </w:rPr>
        <w:t>of rats of different</w:t>
      </w:r>
      <w:r>
        <w:rPr>
          <w:lang w:val="en"/>
        </w:rPr>
        <w:t xml:space="preserve"> </w:t>
      </w:r>
      <w:r>
        <w:rPr>
          <w:rStyle w:val="hps"/>
          <w:lang w:val="en"/>
        </w:rPr>
        <w:t>age groups</w:t>
      </w:r>
      <w:r>
        <w:rPr>
          <w:lang w:val="en"/>
        </w:rPr>
        <w:t xml:space="preserve"> </w:t>
      </w:r>
      <w:r w:rsidR="004564BE">
        <w:rPr>
          <w:rStyle w:val="hps"/>
          <w:lang w:val="en"/>
        </w:rPr>
        <w:t>under normal conditions and</w:t>
      </w:r>
      <w:r w:rsidR="004564BE">
        <w:rPr>
          <w:lang w:val="en"/>
        </w:rPr>
        <w:t xml:space="preserve"> after </w:t>
      </w:r>
      <w:r w:rsidR="004564BE">
        <w:rPr>
          <w:rStyle w:val="hps"/>
          <w:lang w:val="en"/>
        </w:rPr>
        <w:t>immobilization stress</w:t>
      </w:r>
      <w:r w:rsidR="004564BE">
        <w:rPr>
          <w:lang w:val="en"/>
        </w:rPr>
        <w:t xml:space="preserve"> </w:t>
      </w:r>
      <w:r w:rsidR="00EA0B2E" w:rsidRPr="00461F8A">
        <w:rPr>
          <w:lang w:val="en-US"/>
        </w:rPr>
        <w:t xml:space="preserve">(mean ± SEM) </w:t>
      </w:r>
    </w:p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2106"/>
        <w:gridCol w:w="2044"/>
        <w:gridCol w:w="2319"/>
        <w:gridCol w:w="1807"/>
      </w:tblGrid>
      <w:tr w:rsidR="00EA0B2E" w:rsidRPr="00461F8A" w:rsidTr="000F4005">
        <w:trPr>
          <w:trHeight w:val="557"/>
        </w:trPr>
        <w:tc>
          <w:tcPr>
            <w:tcW w:w="129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461F8A">
              <w:rPr>
                <w:lang w:val="en-US"/>
              </w:rPr>
              <w:t>Age</w:t>
            </w:r>
          </w:p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(months)</w:t>
            </w:r>
          </w:p>
        </w:tc>
        <w:tc>
          <w:tcPr>
            <w:tcW w:w="2106" w:type="dxa"/>
          </w:tcPr>
          <w:p w:rsidR="00EA0B2E" w:rsidRPr="00461F8A" w:rsidRDefault="00EA0B2E" w:rsidP="00461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Experimental</w:t>
            </w:r>
          </w:p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group of rats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NAD - ALDH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NADH - ALR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461F8A">
              <w:rPr>
                <w:lang w:val="en-US"/>
              </w:rPr>
              <w:t>GT</w:t>
            </w:r>
          </w:p>
        </w:tc>
      </w:tr>
      <w:tr w:rsidR="00EA0B2E" w:rsidRPr="00461F8A" w:rsidTr="000F4005">
        <w:trPr>
          <w:trHeight w:val="524"/>
        </w:trPr>
        <w:tc>
          <w:tcPr>
            <w:tcW w:w="1294" w:type="dxa"/>
            <w:vMerge w:val="restart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1,5</w:t>
            </w: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intact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1,3 ± 0,2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1,7 ± 0,5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1,3  ± 0,1</w:t>
            </w:r>
          </w:p>
        </w:tc>
      </w:tr>
      <w:tr w:rsidR="00EA0B2E" w:rsidRPr="00461F8A" w:rsidTr="000F4005">
        <w:trPr>
          <w:trHeight w:val="540"/>
        </w:trPr>
        <w:tc>
          <w:tcPr>
            <w:tcW w:w="1294" w:type="dxa"/>
            <w:vMerge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  <w:rPr>
                <w:lang w:val="en-US"/>
              </w:rPr>
            </w:pPr>
            <w:r w:rsidRPr="00461F8A">
              <w:rPr>
                <w:lang w:val="en-US"/>
              </w:rPr>
              <w:t>immobilized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4,2 ±  0,7 *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1,0  ± 0,1 *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1,5 ±  0,2</w:t>
            </w:r>
          </w:p>
        </w:tc>
      </w:tr>
      <w:tr w:rsidR="00EA0B2E" w:rsidRPr="00461F8A" w:rsidTr="000F4005">
        <w:trPr>
          <w:trHeight w:val="526"/>
        </w:trPr>
        <w:tc>
          <w:tcPr>
            <w:tcW w:w="1294" w:type="dxa"/>
            <w:vMerge w:val="restart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 xml:space="preserve">12 </w:t>
            </w: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intact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** 10,4 ± 1,2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** 3,5 ±  0,8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1,5 ± 0,1</w:t>
            </w:r>
          </w:p>
        </w:tc>
      </w:tr>
      <w:tr w:rsidR="00EA0B2E" w:rsidRPr="00461F8A" w:rsidTr="000F4005">
        <w:trPr>
          <w:trHeight w:val="520"/>
        </w:trPr>
        <w:tc>
          <w:tcPr>
            <w:tcW w:w="1294" w:type="dxa"/>
            <w:vMerge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immobilized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20,9  ± 3,1*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4,7 ±  1,0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1,1 ±  0,1</w:t>
            </w:r>
          </w:p>
        </w:tc>
      </w:tr>
      <w:tr w:rsidR="00EA0B2E" w:rsidRPr="00461F8A" w:rsidTr="000F4005">
        <w:trPr>
          <w:trHeight w:val="541"/>
        </w:trPr>
        <w:tc>
          <w:tcPr>
            <w:tcW w:w="1294" w:type="dxa"/>
            <w:vMerge w:val="restart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 xml:space="preserve">24 </w:t>
            </w: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intact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** 2,9 ± 0,4***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1,4  ± 0,3 ***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1,3 ±  0,3</w:t>
            </w:r>
          </w:p>
        </w:tc>
      </w:tr>
      <w:tr w:rsidR="00EA0B2E" w:rsidRPr="00461F8A" w:rsidTr="000F4005">
        <w:trPr>
          <w:trHeight w:val="521"/>
        </w:trPr>
        <w:tc>
          <w:tcPr>
            <w:tcW w:w="1294" w:type="dxa"/>
            <w:vMerge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</w:p>
        </w:tc>
        <w:tc>
          <w:tcPr>
            <w:tcW w:w="2106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rPr>
                <w:lang w:val="en-US"/>
              </w:rPr>
              <w:t>immobilized</w:t>
            </w:r>
          </w:p>
        </w:tc>
        <w:tc>
          <w:tcPr>
            <w:tcW w:w="2044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3,2  ± 0,2</w:t>
            </w:r>
          </w:p>
        </w:tc>
        <w:tc>
          <w:tcPr>
            <w:tcW w:w="2319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1,5 ± 0,4</w:t>
            </w:r>
          </w:p>
        </w:tc>
        <w:tc>
          <w:tcPr>
            <w:tcW w:w="1807" w:type="dxa"/>
          </w:tcPr>
          <w:p w:rsidR="00EA0B2E" w:rsidRPr="00461F8A" w:rsidRDefault="00EA0B2E" w:rsidP="00461F8A">
            <w:pPr>
              <w:pStyle w:val="a3"/>
              <w:spacing w:line="360" w:lineRule="auto"/>
              <w:jc w:val="both"/>
            </w:pPr>
            <w:r w:rsidRPr="00461F8A">
              <w:t>1,2 ±  0,2</w:t>
            </w:r>
          </w:p>
        </w:tc>
      </w:tr>
    </w:tbl>
    <w:p w:rsidR="00EA0B2E" w:rsidRPr="00461F8A" w:rsidRDefault="00EA0B2E" w:rsidP="00461F8A">
      <w:pPr>
        <w:pStyle w:val="a3"/>
        <w:spacing w:line="360" w:lineRule="auto"/>
        <w:ind w:firstLine="567"/>
        <w:jc w:val="both"/>
        <w:rPr>
          <w:lang w:val="en-US"/>
        </w:rPr>
      </w:pPr>
    </w:p>
    <w:p w:rsidR="00EA0B2E" w:rsidRPr="00461F8A" w:rsidRDefault="00EA0B2E" w:rsidP="00461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*      The data are positively distinguished from intact1.5-months-old rats (P &lt; 0.05)</w:t>
      </w:r>
    </w:p>
    <w:p w:rsidR="00EA0B2E" w:rsidRPr="00461F8A" w:rsidRDefault="00EA0B2E" w:rsidP="00461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8A">
        <w:rPr>
          <w:rFonts w:ascii="Times New Roman" w:hAnsi="Times New Roman" w:cs="Times New Roman"/>
          <w:sz w:val="28"/>
          <w:szCs w:val="28"/>
          <w:lang w:val="en-US"/>
        </w:rPr>
        <w:t>**    The data are positively distinguished from intact rats of same age group (P &lt; 0.05)</w:t>
      </w:r>
    </w:p>
    <w:p w:rsidR="00EA0B2E" w:rsidRPr="00461F8A" w:rsidRDefault="00EA0B2E" w:rsidP="00461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8A">
        <w:rPr>
          <w:rFonts w:ascii="Times New Roman" w:hAnsi="Times New Roman" w:cs="Times New Roman"/>
          <w:sz w:val="28"/>
          <w:szCs w:val="28"/>
          <w:lang w:val="en-US"/>
        </w:rPr>
        <w:t>**</w:t>
      </w:r>
      <w:proofErr w:type="gramStart"/>
      <w:r w:rsidRPr="00461F8A">
        <w:rPr>
          <w:rFonts w:ascii="Times New Roman" w:hAnsi="Times New Roman" w:cs="Times New Roman"/>
          <w:sz w:val="28"/>
          <w:szCs w:val="28"/>
          <w:lang w:val="en-US"/>
        </w:rPr>
        <w:t>*  The</w:t>
      </w:r>
      <w:proofErr w:type="gramEnd"/>
      <w:r w:rsidRPr="00461F8A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r w:rsidR="00C751D1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461F8A">
        <w:rPr>
          <w:rFonts w:ascii="Times New Roman" w:hAnsi="Times New Roman" w:cs="Times New Roman"/>
          <w:sz w:val="28"/>
          <w:szCs w:val="28"/>
          <w:lang w:val="en-US"/>
        </w:rPr>
        <w:t>positively distinguished from  intact 12-months-old rats (P &lt; 0.05)</w:t>
      </w:r>
    </w:p>
    <w:p w:rsidR="00EA0B2E" w:rsidRPr="00461F8A" w:rsidRDefault="00EA0B2E" w:rsidP="00461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F8A">
        <w:rPr>
          <w:rFonts w:ascii="Times New Roman" w:hAnsi="Times New Roman" w:cs="Times New Roman"/>
          <w:sz w:val="28"/>
          <w:szCs w:val="28"/>
          <w:lang w:val="en-US"/>
        </w:rPr>
        <w:t>The table represents the average data from 6 investigations</w:t>
      </w:r>
    </w:p>
    <w:p w:rsidR="00EA0B2E" w:rsidRPr="0077632E" w:rsidRDefault="0077632E" w:rsidP="00461F8A">
      <w:pPr>
        <w:pStyle w:val="a3"/>
        <w:spacing w:line="360" w:lineRule="auto"/>
        <w:ind w:firstLine="567"/>
        <w:jc w:val="both"/>
        <w:rPr>
          <w:lang w:val="en-US"/>
        </w:rPr>
      </w:pPr>
      <w:r>
        <w:rPr>
          <w:lang w:val="en-US"/>
        </w:rPr>
        <w:t>References</w:t>
      </w:r>
      <w:bookmarkStart w:id="0" w:name="_GoBack"/>
      <w:bookmarkEnd w:id="0"/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Bautmans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I, Van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Puyvelde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K, Mets T (2009).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Sarcopenia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and functional decline: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pathophysiology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prevention and therapy.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Acta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Clin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Belg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64 (4): 303 – 316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Chen C N, Brown-Borg H M,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Rakoczy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 G, Thompson L V (2008).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Muscle disuse: adaptation of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antioxidant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systems is age dependent. J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Gerontol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Sci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Med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Sci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63 (5): 461 – 466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Davydov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Amjad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Hamdallah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Grabovetskaya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 R (2014). Age-related peculiarities of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change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in content of free radical oxidation products in muscle during stress . Front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9 (4):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283 – 286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Davydov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Bozhkov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 I,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Kulchitski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O K (2012). Physiological and pathophysiological role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of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endogenous aldehydes. Saarbrucken: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Palmarium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Academic Publishing, 240 (in Russian)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Davydov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Dobaeva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N M,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Bozhkov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 I (2004). Possible role of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aldehyde</w:t>
      </w:r>
      <w:proofErr w:type="gramStart"/>
      <w:r w:rsidRPr="0077632E">
        <w:rPr>
          <w:rFonts w:ascii="TimesNewRoman" w:hAnsi="TimesNewRoman" w:cs="TimesNewRoman"/>
          <w:color w:val="000000"/>
          <w:sz w:val="15"/>
          <w:szCs w:val="15"/>
          <w:lang w:val="en-US"/>
        </w:rPr>
        <w:t>,</w:t>
      </w: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proofErr w:type="spellEnd"/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scavenger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enzymes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during aging.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Exp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Gerontol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39: 11– 16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Davydov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Shvets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N (2003). Age-dependent differences in the stimulation of lipid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peroxidation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in the heart of rats during immobilization stress.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Exp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Gerontol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, 38 </w:t>
      </w:r>
      <w:r w:rsidRPr="0077632E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>(</w:t>
      </w: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6): 693 – 698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Grabovetskaya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 R,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Davydov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V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(2009). Age peculiarities in changes activity of enzymes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these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take part in utilization of aldehydes in heart mitochondria during stress. Problems of aging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and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longevity, 18 (2): 166 – 173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Hindle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 G, Lawler J M, Campbell K L, Horning M (2010). Muscle aging and oxidative stress in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wild-caught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shrews. Comp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Biochem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Physiol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B.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Biochem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155 (4): 427 – 234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Kang C, Chung E,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Diffee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G,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Ji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L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(2013). Exercise training attenuates aging-associated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mitochondrial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dysfunction in rat skeletal muscle: Role of PGC-1</w:t>
      </w:r>
      <w:r>
        <w:rPr>
          <w:rFonts w:ascii="TimesNewRoman" w:hAnsi="TimesNewRoman" w:cs="TimesNewRoman"/>
          <w:color w:val="000000"/>
          <w:sz w:val="23"/>
          <w:szCs w:val="23"/>
        </w:rPr>
        <w:t>α</w:t>
      </w: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Exp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Gerontol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48 (11): 1343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– 1350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Lopez-Torres M, Perez-Campo R (1992).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Rojas C. Sensitivity to in vitro lipid peroxidation in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liver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and brain of aged rats . Rev </w:t>
      </w:r>
      <w:proofErr w:type="spellStart"/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Esp</w:t>
      </w:r>
      <w:proofErr w:type="spellEnd"/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Fisiol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48 (3): 191–196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Mannervik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B,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Guthenberg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С</w:t>
      </w: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(1981).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Glutathione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transferase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.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Methods Enzymology, 77: 231 –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235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Marzetti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Calvani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R,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Cesari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 (2013). Mitochondrial dysfunction and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sarcopenia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of aging: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from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signaling pathways to clinical trials.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Int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J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Biochem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Cell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45 (10): 2288 – 22301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Meerson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F Z (1984). Pathogenesis and prevention of stress and ischemic injures of heart.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Moscow: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Medicina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270 (in Russian)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Michalikova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Balazova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H,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Jezova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D (1990). Changes in circulating catecholamine levels in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old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rats under basal conditions and during stress.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Bratisl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Lek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Listy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91 (9): 689–693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Narici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 V,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Maffulli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N (2010).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Sarcopenia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: characteristics, mechanisms and functional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significance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. Br Med Bull, 95: 139 – 159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Pirozhkov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 V,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Panchenko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L F (1988). The role of aldehyde dehydrogenases in the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malonic</w:t>
      </w:r>
      <w:proofErr w:type="spellEnd"/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dialdehyde</w:t>
      </w:r>
      <w:proofErr w:type="spellEnd"/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metabolism in liver of rats. Biochemistry (Moscow), 53 (9): 1443 – 1448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Rossi P,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Marzani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B,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Giardina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 (2008). Human skeletal muscle aging and the oxidative system: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cellular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events.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Curr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Aging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Sci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, 1 (3): 182 – 191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lastRenderedPageBreak/>
        <w:t>Srivastava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S, Liu S Q,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Couklin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D J (2001). Involvement of aldose reductase in metabolism of</w:t>
      </w:r>
    </w:p>
    <w:p w:rsidR="0077632E" w:rsidRP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spellStart"/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atherogenic</w:t>
      </w:r>
      <w:proofErr w:type="spellEnd"/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aldehyde.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Chem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Biol</w:t>
      </w:r>
      <w:proofErr w:type="spell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Interact, 130 –132 (1 – 3): 563 – 571</w:t>
      </w:r>
    </w:p>
    <w:p w:rsid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Uchida K (2000). </w:t>
      </w:r>
      <w:proofErr w:type="gramStart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>Role of reactive aldehyde in cardiovascular disease.</w:t>
      </w:r>
      <w:proofErr w:type="gramEnd"/>
      <w:r w:rsidRPr="0077632E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Free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Radical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Biol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Med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>,</w:t>
      </w:r>
    </w:p>
    <w:p w:rsidR="0077632E" w:rsidRDefault="0077632E" w:rsidP="00776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28 (12): 1685 – 1696</w:t>
      </w:r>
    </w:p>
    <w:sectPr w:rsidR="007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E"/>
    <w:rsid w:val="00020B4E"/>
    <w:rsid w:val="00023AF6"/>
    <w:rsid w:val="00056C60"/>
    <w:rsid w:val="000D06B8"/>
    <w:rsid w:val="000E598E"/>
    <w:rsid w:val="000F2E73"/>
    <w:rsid w:val="001447C0"/>
    <w:rsid w:val="00154B0D"/>
    <w:rsid w:val="00163E92"/>
    <w:rsid w:val="00194FF9"/>
    <w:rsid w:val="001A3CAB"/>
    <w:rsid w:val="001A6DEE"/>
    <w:rsid w:val="00240FE8"/>
    <w:rsid w:val="00242923"/>
    <w:rsid w:val="00256F84"/>
    <w:rsid w:val="00282EC3"/>
    <w:rsid w:val="002B7703"/>
    <w:rsid w:val="002C7430"/>
    <w:rsid w:val="00316F06"/>
    <w:rsid w:val="00317DE8"/>
    <w:rsid w:val="00336B97"/>
    <w:rsid w:val="003661DC"/>
    <w:rsid w:val="00376FDE"/>
    <w:rsid w:val="00383B66"/>
    <w:rsid w:val="00391775"/>
    <w:rsid w:val="003A29FB"/>
    <w:rsid w:val="003B175D"/>
    <w:rsid w:val="003B27DF"/>
    <w:rsid w:val="00426920"/>
    <w:rsid w:val="004564BE"/>
    <w:rsid w:val="00461F8A"/>
    <w:rsid w:val="00484190"/>
    <w:rsid w:val="00490EF1"/>
    <w:rsid w:val="004D3E63"/>
    <w:rsid w:val="004D3F13"/>
    <w:rsid w:val="005204FB"/>
    <w:rsid w:val="00583FAE"/>
    <w:rsid w:val="005E48DC"/>
    <w:rsid w:val="006279A3"/>
    <w:rsid w:val="006A4475"/>
    <w:rsid w:val="006B2B5A"/>
    <w:rsid w:val="00703F71"/>
    <w:rsid w:val="007365F2"/>
    <w:rsid w:val="0077632E"/>
    <w:rsid w:val="007A3E9A"/>
    <w:rsid w:val="007A47F6"/>
    <w:rsid w:val="007C1B89"/>
    <w:rsid w:val="007C5074"/>
    <w:rsid w:val="007D74E2"/>
    <w:rsid w:val="008063BD"/>
    <w:rsid w:val="008113B2"/>
    <w:rsid w:val="008314D5"/>
    <w:rsid w:val="00863AF8"/>
    <w:rsid w:val="009129CD"/>
    <w:rsid w:val="00947D89"/>
    <w:rsid w:val="00980545"/>
    <w:rsid w:val="00985DDB"/>
    <w:rsid w:val="009C4B8F"/>
    <w:rsid w:val="009D114B"/>
    <w:rsid w:val="009F0A42"/>
    <w:rsid w:val="00A02792"/>
    <w:rsid w:val="00AA2B2B"/>
    <w:rsid w:val="00B25D8F"/>
    <w:rsid w:val="00B529F0"/>
    <w:rsid w:val="00B63809"/>
    <w:rsid w:val="00BA2ECE"/>
    <w:rsid w:val="00BD1079"/>
    <w:rsid w:val="00C20232"/>
    <w:rsid w:val="00C5635D"/>
    <w:rsid w:val="00C65116"/>
    <w:rsid w:val="00C751D1"/>
    <w:rsid w:val="00CD5069"/>
    <w:rsid w:val="00CE027F"/>
    <w:rsid w:val="00CE4FE8"/>
    <w:rsid w:val="00D77043"/>
    <w:rsid w:val="00DA5A8F"/>
    <w:rsid w:val="00DB4BFE"/>
    <w:rsid w:val="00DE2123"/>
    <w:rsid w:val="00DE6894"/>
    <w:rsid w:val="00E25A95"/>
    <w:rsid w:val="00E312FA"/>
    <w:rsid w:val="00E55FC4"/>
    <w:rsid w:val="00EA0B2E"/>
    <w:rsid w:val="00EB22F2"/>
    <w:rsid w:val="00F1129A"/>
    <w:rsid w:val="00F6255E"/>
    <w:rsid w:val="00FC0AD9"/>
    <w:rsid w:val="00FC7091"/>
    <w:rsid w:val="00FD5F9E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2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6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2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6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1F4B-8098-40BC-AB0B-10FE62F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место7</dc:creator>
  <cp:lastModifiedBy>место7</cp:lastModifiedBy>
  <cp:revision>86</cp:revision>
  <dcterms:created xsi:type="dcterms:W3CDTF">2015-10-12T08:37:00Z</dcterms:created>
  <dcterms:modified xsi:type="dcterms:W3CDTF">2016-04-05T10:04:00Z</dcterms:modified>
</cp:coreProperties>
</file>