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00" w:rsidRPr="00F212E4" w:rsidRDefault="000A2EFF" w:rsidP="00F212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Прященко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М.О., Паращук В.Ю., Луцький А.С.</w:t>
      </w:r>
    </w:p>
    <w:p w:rsidR="00312700" w:rsidRPr="00F212E4" w:rsidRDefault="000A2EFF" w:rsidP="00F212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</w:pPr>
      <w:r w:rsidRPr="00F212E4">
        <w:rPr>
          <w:rFonts w:ascii="Times New Roman" w:hAnsi="Times New Roman" w:cs="Times New Roman"/>
          <w:caps/>
          <w:sz w:val="28"/>
          <w:szCs w:val="28"/>
          <w:lang w:val="uk-UA"/>
        </w:rPr>
        <w:t>Сучасні підходи до лікування бактеріального вагінозу.</w:t>
      </w:r>
    </w:p>
    <w:p w:rsidR="00312700" w:rsidRPr="00F212E4" w:rsidRDefault="000A2EFF" w:rsidP="00F212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12E4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312700" w:rsidRPr="00F212E4" w:rsidRDefault="000A2EFF" w:rsidP="00F212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12E4">
        <w:rPr>
          <w:rFonts w:ascii="Times New Roman" w:hAnsi="Times New Roman" w:cs="Times New Roman"/>
          <w:sz w:val="28"/>
          <w:szCs w:val="28"/>
          <w:lang w:val="uk-UA"/>
        </w:rPr>
        <w:t>Кафедра акушерства та гінекології №2</w:t>
      </w:r>
    </w:p>
    <w:p w:rsidR="00312700" w:rsidRPr="00F212E4" w:rsidRDefault="000A2EFF" w:rsidP="00F212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12E4">
        <w:rPr>
          <w:rFonts w:ascii="Times New Roman" w:hAnsi="Times New Roman" w:cs="Times New Roman"/>
          <w:sz w:val="28"/>
          <w:szCs w:val="28"/>
          <w:lang w:val="uk-UA"/>
        </w:rPr>
        <w:t>Науковий керівник к. мед. н . Гайворонська С.І.</w:t>
      </w:r>
    </w:p>
    <w:p w:rsidR="00312700" w:rsidRPr="00F212E4" w:rsidRDefault="000A2EFF" w:rsidP="00F21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Дисбактеріоз піхви представляє собою порушення будови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слизової, а загальний імунітет патологічної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часто практично зводить нанівець можливість корекції бактеріального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вагінозу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(БВ) за допомогою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пробіотиків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Біоплівка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підвищує ступінь адгезії бактерій до поверхні епітелію, що дозволяє їм досягати більш високих концентрацій і перешкоджати проникненню лікарських препаратів до бактерій, що знаходяться в плівці в неактивному стані [1,</w:t>
      </w:r>
      <w:r w:rsidR="00C20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2]. Крім того, створюються умови для масивного розмноження анаеробів в піхві. </w:t>
      </w:r>
    </w:p>
    <w:p w:rsidR="00312700" w:rsidRPr="00F212E4" w:rsidRDefault="000A2EFF" w:rsidP="00F21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Терапевтичний вплив на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повинний бути спрямований на механізми первинної адгезії бактерій до поверхні, блокування синтезу або руйнування полімерного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матриксу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>, на порушення міжклітинного обміну інформацією і також поєднуватися з власне бактерицидними агентами.</w:t>
      </w:r>
    </w:p>
    <w:p w:rsidR="00312700" w:rsidRPr="00F212E4" w:rsidRDefault="000A2EFF" w:rsidP="00F21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Метою роботи було порівняння результатів лікування БВ при використанні стандартної терапії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антианаеробними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препаратами і схеми з включенням живої форми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пробіотика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та препаратом аскорбінової кислоти.</w:t>
      </w:r>
    </w:p>
    <w:p w:rsidR="00312700" w:rsidRPr="00F212E4" w:rsidRDefault="000A2EFF" w:rsidP="00F21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методи. </w:t>
      </w:r>
      <w:r w:rsidR="00C20D9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212E4">
        <w:rPr>
          <w:rFonts w:ascii="Times New Roman" w:hAnsi="Times New Roman" w:cs="Times New Roman"/>
          <w:sz w:val="28"/>
          <w:szCs w:val="28"/>
          <w:lang w:val="uk-UA"/>
        </w:rPr>
        <w:t>ул</w:t>
      </w:r>
      <w:r w:rsidR="00C20D9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обстежен</w:t>
      </w:r>
      <w:r w:rsidR="00C20D9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30 жінок з бактеріальним 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вагінозом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. Для постановки діагнозу «бактеріальний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вагіноз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» керувалися наявністю критеріїв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Аmsel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. Методом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полімеразної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ланцюгової реакції зі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зворотньою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транскриптазою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були виявлені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біоплівочні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асоціації. </w:t>
      </w:r>
    </w:p>
    <w:p w:rsidR="00312700" w:rsidRPr="00F212E4" w:rsidRDefault="000A2EFF" w:rsidP="00F21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В основній групі (15 жінок) проведено курс лікування БВ: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метронідазолом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кліндаміцином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протягом 6 днів з паралельним застосуванням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вагінально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аскорбінової кислоти  протягом 10 днів. Після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антибіотикотерапіі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був призначений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мультипробіотик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піхвових зрошень.</w:t>
      </w:r>
      <w:bookmarkStart w:id="0" w:name="_GoBack"/>
      <w:bookmarkEnd w:id="0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У групі порівняння (15 жінок) лікування БВ проведено у відповідності з галузевим клінічним протоколом.  </w:t>
      </w:r>
    </w:p>
    <w:p w:rsidR="00312700" w:rsidRPr="00F212E4" w:rsidRDefault="000A2EFF" w:rsidP="00F21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12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Результати дослідження та їх обговорення .У пацієнток з БВ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були виявлені в 93 % (n = 14) випадків в основній групі і у 86% (n = 13) пацієнток контрольної групи. Найбільш поширеними мікроорганізмами, що входять до складу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біоплівок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при БВ, були G.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Vaginalis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(від 60 до 90 % маси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біоплівки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). Співвідношення анаеробів до аеробів в основній групі становило 156:1, в контрольній 150:1. Вміст лізоциму в секретах репродуктивного тракту жінок з БВ до початку лікування становив 38,34±7,87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мк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>/л  (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цервікальний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секрет ) при нормі 30,54±6,32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/л, р &lt; 0,05 і 38,98±7,2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/л (вагінальний слиз) при фізіологічних показниках 28,85±6,94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/л, р &lt; 0,05. Після курсу лікування пацієнток з БВ, що брали  участь у дослідженні, клінічне одужання за критеріями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Аmsel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настало  у 14 (93 %) основної групи і у 10 (66 %) жінок групи порівняння. Наявність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біоплівок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у хворих основної групи зменшилася до 20 % випадків (n = 3) і співвідношення анаеробів до аеробів змінилася до 5:1. У контрольній групі наявність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біоплівкових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асоціацій було виявлено у 53 % випадків  (n = 8), відповідність анаеробів до аеробів склала 40:1.Вміст лізоциму в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цервікальному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і вагінальному секреті основної групи відповідав рівням фізіологічної норми. У хворих контрольної групи вміст лізоциму в секреті піхвового біотопу залишався підвищеним: 36,87±4,7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/л в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цервікальному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слизу при нормі 30,54±6,32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/л, р &lt; 0,05 і 34,12±5,6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/л при нормі 28,85±6,94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/л, р &lt; 0,05 в піхвовому секреті. </w:t>
      </w:r>
    </w:p>
    <w:p w:rsidR="00312700" w:rsidRPr="00F212E4" w:rsidRDefault="000A2EFF" w:rsidP="00F21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Висновки. Елімінації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біоплівкових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асоціацій сприяє включення в схему лікування бактеріальних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вагінозів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препаратів, які сприяють зниженню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і відновленню фізіологічної мікрофлори. </w:t>
      </w:r>
    </w:p>
    <w:p w:rsidR="00312700" w:rsidRPr="00F212E4" w:rsidRDefault="000A2EFF" w:rsidP="00F21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12E4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312700" w:rsidRPr="00F212E4" w:rsidRDefault="000A2EFF" w:rsidP="00F212E4">
      <w:pPr>
        <w:numPr>
          <w:ilvl w:val="0"/>
          <w:numId w:val="3"/>
        </w:numPr>
        <w:tabs>
          <w:tab w:val="num" w:pos="643"/>
          <w:tab w:val="left" w:pos="72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Інфекції, що передаються статевим шляхом / Клінічний протокол, затверджений Наказом МОЗ України №582 від 15.12.2003 . </w:t>
      </w:r>
    </w:p>
    <w:p w:rsidR="00312700" w:rsidRPr="00F212E4" w:rsidRDefault="000A2EFF" w:rsidP="00F212E4">
      <w:pPr>
        <w:numPr>
          <w:ilvl w:val="0"/>
          <w:numId w:val="3"/>
        </w:numPr>
        <w:tabs>
          <w:tab w:val="num" w:pos="643"/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Татарчук Т.Ф.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Современный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подход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терапии</w:t>
      </w:r>
      <w:proofErr w:type="spellEnd"/>
      <w:r w:rsidR="00F212E4" w:rsidRPr="00F212E4">
        <w:rPr>
          <w:rFonts w:ascii="Times New Roman" w:hAnsi="Times New Roman" w:cs="Times New Roman"/>
          <w:sz w:val="28"/>
          <w:szCs w:val="28"/>
        </w:rPr>
        <w:t xml:space="preserve"> </w:t>
      </w:r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неспецифических</w:t>
      </w:r>
      <w:proofErr w:type="spellEnd"/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2E4">
        <w:rPr>
          <w:rFonts w:ascii="Times New Roman" w:hAnsi="Times New Roman" w:cs="Times New Roman"/>
          <w:sz w:val="28"/>
          <w:szCs w:val="28"/>
          <w:lang w:val="uk-UA"/>
        </w:rPr>
        <w:t>вагинитов</w:t>
      </w:r>
      <w:proofErr w:type="spellEnd"/>
      <w:r w:rsidR="00F212E4">
        <w:rPr>
          <w:rFonts w:ascii="Times New Roman" w:hAnsi="Times New Roman" w:cs="Times New Roman"/>
          <w:sz w:val="28"/>
          <w:szCs w:val="28"/>
          <w:lang w:val="uk-UA"/>
        </w:rPr>
        <w:t xml:space="preserve"> / Т.Ф.Татарчук// </w:t>
      </w:r>
      <w:r w:rsidRPr="00F212E4">
        <w:rPr>
          <w:rFonts w:ascii="Times New Roman" w:hAnsi="Times New Roman" w:cs="Times New Roman"/>
          <w:sz w:val="28"/>
          <w:szCs w:val="28"/>
          <w:lang w:val="uk-UA"/>
        </w:rPr>
        <w:t>Фармакотерапія</w:t>
      </w:r>
      <w:r w:rsidR="00F212E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2015</w:t>
      </w:r>
      <w:r w:rsidR="00F212E4">
        <w:rPr>
          <w:rFonts w:ascii="Times New Roman" w:hAnsi="Times New Roman" w:cs="Times New Roman"/>
          <w:sz w:val="28"/>
          <w:szCs w:val="28"/>
          <w:lang w:val="uk-UA"/>
        </w:rPr>
        <w:t>. –№</w:t>
      </w:r>
      <w:r w:rsidRPr="00F212E4">
        <w:rPr>
          <w:rFonts w:ascii="Times New Roman" w:hAnsi="Times New Roman" w:cs="Times New Roman"/>
          <w:sz w:val="28"/>
          <w:szCs w:val="28"/>
          <w:lang w:val="uk-UA"/>
        </w:rPr>
        <w:t xml:space="preserve"> 2(22)</w:t>
      </w:r>
      <w:r w:rsidR="00F212E4">
        <w:rPr>
          <w:rFonts w:ascii="Times New Roman" w:hAnsi="Times New Roman" w:cs="Times New Roman"/>
          <w:sz w:val="28"/>
          <w:szCs w:val="28"/>
          <w:lang w:val="uk-UA"/>
        </w:rPr>
        <w:t>. – С</w:t>
      </w:r>
      <w:r w:rsidRPr="00F212E4">
        <w:rPr>
          <w:rFonts w:ascii="Times New Roman" w:hAnsi="Times New Roman" w:cs="Times New Roman"/>
          <w:sz w:val="28"/>
          <w:szCs w:val="28"/>
          <w:lang w:val="uk-UA"/>
        </w:rPr>
        <w:t>.85-88.</w:t>
      </w:r>
    </w:p>
    <w:sectPr w:rsidR="00312700" w:rsidRPr="00F212E4" w:rsidSect="00F212E4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8F" w:rsidRDefault="00CB1B8F">
      <w:pPr>
        <w:spacing w:after="0" w:line="240" w:lineRule="auto"/>
      </w:pPr>
      <w:r>
        <w:separator/>
      </w:r>
    </w:p>
  </w:endnote>
  <w:endnote w:type="continuationSeparator" w:id="0">
    <w:p w:rsidR="00CB1B8F" w:rsidRDefault="00CB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00" w:rsidRDefault="003127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8F" w:rsidRDefault="00CB1B8F">
      <w:pPr>
        <w:spacing w:after="0" w:line="240" w:lineRule="auto"/>
      </w:pPr>
      <w:r>
        <w:separator/>
      </w:r>
    </w:p>
  </w:footnote>
  <w:footnote w:type="continuationSeparator" w:id="0">
    <w:p w:rsidR="00CB1B8F" w:rsidRDefault="00CB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00" w:rsidRDefault="00312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C80"/>
    <w:multiLevelType w:val="multilevel"/>
    <w:tmpl w:val="5540DB6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1">
    <w:nsid w:val="20673F49"/>
    <w:multiLevelType w:val="multilevel"/>
    <w:tmpl w:val="26F6114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72AC02B0"/>
    <w:multiLevelType w:val="multilevel"/>
    <w:tmpl w:val="92CE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2700"/>
    <w:rsid w:val="000A2EFF"/>
    <w:rsid w:val="00312700"/>
    <w:rsid w:val="00C20D9D"/>
    <w:rsid w:val="00CB1B8F"/>
    <w:rsid w:val="00F2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3209</Characters>
  <Application>Microsoft Office Word</Application>
  <DocSecurity>0</DocSecurity>
  <Lines>26</Lines>
  <Paragraphs>7</Paragraphs>
  <ScaleCrop>false</ScaleCrop>
  <Company>Krokoz™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2015-12-16T07:39:00Z</dcterms:created>
  <dcterms:modified xsi:type="dcterms:W3CDTF">2015-12-17T09:17:00Z</dcterms:modified>
</cp:coreProperties>
</file>