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2" w:rsidRDefault="00A52DC2" w:rsidP="00A52DC2">
      <w:pPr>
        <w:jc w:val="both"/>
        <w:rPr>
          <w:bCs/>
          <w:sz w:val="28"/>
          <w:szCs w:val="28"/>
        </w:rPr>
      </w:pPr>
      <w:proofErr w:type="spellStart"/>
      <w:r w:rsidRPr="00CE1EDD">
        <w:rPr>
          <w:bCs/>
          <w:sz w:val="28"/>
          <w:szCs w:val="28"/>
          <w:lang w:val="uk-UA"/>
        </w:rPr>
        <w:t>Сборник</w:t>
      </w:r>
      <w:proofErr w:type="spellEnd"/>
      <w:r w:rsidRPr="00CE1EDD">
        <w:rPr>
          <w:bCs/>
          <w:sz w:val="28"/>
          <w:szCs w:val="28"/>
          <w:lang w:val="uk-UA"/>
        </w:rPr>
        <w:t xml:space="preserve"> </w:t>
      </w:r>
      <w:proofErr w:type="spellStart"/>
      <w:r w:rsidRPr="00CE1EDD">
        <w:rPr>
          <w:bCs/>
          <w:sz w:val="28"/>
          <w:szCs w:val="28"/>
          <w:lang w:val="uk-UA"/>
        </w:rPr>
        <w:t>трудов</w:t>
      </w:r>
      <w:proofErr w:type="spellEnd"/>
      <w:r w:rsidRPr="00CE1EDD">
        <w:rPr>
          <w:bCs/>
          <w:sz w:val="28"/>
          <w:szCs w:val="28"/>
          <w:lang w:val="uk-UA"/>
        </w:rPr>
        <w:t xml:space="preserve"> ХХІІІ </w:t>
      </w:r>
      <w:proofErr w:type="spellStart"/>
      <w:r w:rsidRPr="00CE1EDD">
        <w:rPr>
          <w:bCs/>
          <w:sz w:val="28"/>
          <w:szCs w:val="28"/>
          <w:lang w:val="uk-UA"/>
        </w:rPr>
        <w:t>ме</w:t>
      </w:r>
      <w:r w:rsidRPr="00CE1EDD">
        <w:rPr>
          <w:bCs/>
          <w:sz w:val="28"/>
          <w:szCs w:val="28"/>
        </w:rPr>
        <w:t>ждународной</w:t>
      </w:r>
      <w:proofErr w:type="spellEnd"/>
      <w:r w:rsidRPr="00CE1EDD">
        <w:rPr>
          <w:bCs/>
          <w:sz w:val="28"/>
          <w:szCs w:val="28"/>
        </w:rPr>
        <w:t xml:space="preserve"> научно-практической конференции «Инновационные пути </w:t>
      </w:r>
      <w:proofErr w:type="spellStart"/>
      <w:r w:rsidRPr="00CE1EDD">
        <w:rPr>
          <w:bCs/>
          <w:sz w:val="28"/>
          <w:szCs w:val="28"/>
        </w:rPr>
        <w:t>решеня</w:t>
      </w:r>
      <w:proofErr w:type="spellEnd"/>
      <w:r w:rsidRPr="00CE1EDD">
        <w:rPr>
          <w:bCs/>
          <w:sz w:val="28"/>
          <w:szCs w:val="28"/>
        </w:rPr>
        <w:t xml:space="preserve"> актуальных проблем базовых отраслей, экологии, </w:t>
      </w:r>
      <w:proofErr w:type="spellStart"/>
      <w:r w:rsidRPr="00CE1EDD">
        <w:rPr>
          <w:bCs/>
          <w:sz w:val="28"/>
          <w:szCs w:val="28"/>
        </w:rPr>
        <w:t>энерго</w:t>
      </w:r>
      <w:proofErr w:type="spellEnd"/>
      <w:r w:rsidRPr="00CE1EDD">
        <w:rPr>
          <w:bCs/>
          <w:sz w:val="28"/>
          <w:szCs w:val="28"/>
        </w:rPr>
        <w:t xml:space="preserve">- и ресурсосбережения» (г. </w:t>
      </w:r>
      <w:proofErr w:type="gramStart"/>
      <w:r w:rsidRPr="00CE1EDD">
        <w:rPr>
          <w:bCs/>
          <w:sz w:val="28"/>
          <w:szCs w:val="28"/>
        </w:rPr>
        <w:t xml:space="preserve">Харьков, 1-5 июня </w:t>
      </w:r>
      <w:smartTag w:uri="urn:schemas-microsoft-com:office:smarttags" w:element="metricconverter">
        <w:smartTagPr>
          <w:attr w:name="ProductID" w:val="2015 г"/>
        </w:smartTagPr>
        <w:r w:rsidRPr="00CE1EDD"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.).</w:t>
      </w:r>
      <w:proofErr w:type="gramEnd"/>
      <w:r>
        <w:rPr>
          <w:bCs/>
          <w:sz w:val="28"/>
          <w:szCs w:val="28"/>
        </w:rPr>
        <w:t xml:space="preserve"> – Харьков. -</w:t>
      </w:r>
      <w:r w:rsidRPr="00CE1EDD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E1EDD">
          <w:rPr>
            <w:bCs/>
            <w:sz w:val="28"/>
            <w:szCs w:val="28"/>
          </w:rPr>
          <w:t>2015 г</w:t>
        </w:r>
      </w:smartTag>
      <w:r w:rsidRPr="00CE1EDD">
        <w:rPr>
          <w:bCs/>
          <w:sz w:val="28"/>
          <w:szCs w:val="28"/>
        </w:rPr>
        <w:t>. – С. 81-85.</w:t>
      </w:r>
    </w:p>
    <w:p w:rsidR="00A52DC2" w:rsidRPr="00CE1EDD" w:rsidRDefault="00A52DC2" w:rsidP="00A52DC2">
      <w:pPr>
        <w:jc w:val="both"/>
        <w:rPr>
          <w:bCs/>
          <w:sz w:val="28"/>
          <w:szCs w:val="28"/>
        </w:rPr>
      </w:pPr>
    </w:p>
    <w:p w:rsidR="00A52DC2" w:rsidRPr="00CE1EDD" w:rsidRDefault="00A52DC2" w:rsidP="00A52DC2">
      <w:pPr>
        <w:rPr>
          <w:bCs/>
          <w:caps/>
          <w:sz w:val="28"/>
          <w:szCs w:val="28"/>
        </w:rPr>
      </w:pPr>
      <w:r w:rsidRPr="00CE1EDD">
        <w:rPr>
          <w:bCs/>
          <w:caps/>
          <w:sz w:val="28"/>
          <w:szCs w:val="28"/>
        </w:rPr>
        <w:t xml:space="preserve">УДК: [616-008.9:577.1’311.477]-092.9-099:543395 </w:t>
      </w:r>
      <w:bookmarkStart w:id="0" w:name="_GoBack"/>
      <w:bookmarkEnd w:id="0"/>
    </w:p>
    <w:p w:rsidR="00A52DC2" w:rsidRPr="00CE1EDD" w:rsidRDefault="00A52DC2" w:rsidP="00A52DC2">
      <w:pPr>
        <w:rPr>
          <w:b/>
          <w:bCs/>
          <w:sz w:val="28"/>
          <w:szCs w:val="28"/>
        </w:rPr>
      </w:pPr>
      <w:r w:rsidRPr="00CE1EDD">
        <w:rPr>
          <w:b/>
          <w:bCs/>
          <w:caps/>
          <w:sz w:val="28"/>
          <w:szCs w:val="28"/>
        </w:rPr>
        <w:t>Щ</w:t>
      </w:r>
      <w:r w:rsidRPr="00CE1EDD">
        <w:rPr>
          <w:b/>
          <w:bCs/>
          <w:sz w:val="28"/>
          <w:szCs w:val="28"/>
        </w:rPr>
        <w:t xml:space="preserve">ербань Н.Г., Жуков В.И., Николаева О.В., </w:t>
      </w:r>
      <w:proofErr w:type="spellStart"/>
      <w:r w:rsidRPr="00CE1EDD">
        <w:rPr>
          <w:b/>
          <w:bCs/>
          <w:sz w:val="28"/>
          <w:szCs w:val="28"/>
        </w:rPr>
        <w:t>Кучерявченко</w:t>
      </w:r>
      <w:proofErr w:type="spellEnd"/>
      <w:r w:rsidRPr="00CE1EDD">
        <w:rPr>
          <w:b/>
          <w:bCs/>
          <w:sz w:val="28"/>
          <w:szCs w:val="28"/>
        </w:rPr>
        <w:t xml:space="preserve"> М.А., Безродная А.И.</w:t>
      </w:r>
    </w:p>
    <w:p w:rsidR="00A52DC2" w:rsidRPr="00CE1EDD" w:rsidRDefault="00A52DC2" w:rsidP="00A52DC2">
      <w:pPr>
        <w:rPr>
          <w:b/>
          <w:bCs/>
          <w:sz w:val="28"/>
          <w:szCs w:val="28"/>
        </w:rPr>
      </w:pPr>
    </w:p>
    <w:p w:rsidR="00A52DC2" w:rsidRPr="00CE1EDD" w:rsidRDefault="00A52DC2" w:rsidP="00A52DC2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CE1EDD">
        <w:rPr>
          <w:b/>
          <w:bCs/>
          <w:caps/>
          <w:sz w:val="28"/>
          <w:szCs w:val="28"/>
        </w:rPr>
        <w:t xml:space="preserve">Воздействие лапроксида л-512 на энергетику метаболических процессов в митохондриях </w:t>
      </w:r>
    </w:p>
    <w:p w:rsidR="00A52DC2" w:rsidRPr="00CE1EDD" w:rsidRDefault="00A52DC2" w:rsidP="00A52DC2">
      <w:pPr>
        <w:spacing w:line="360" w:lineRule="auto"/>
        <w:jc w:val="center"/>
        <w:rPr>
          <w:sz w:val="28"/>
          <w:szCs w:val="28"/>
        </w:rPr>
      </w:pPr>
      <w:r w:rsidRPr="00CE1EDD">
        <w:rPr>
          <w:sz w:val="28"/>
          <w:szCs w:val="28"/>
        </w:rPr>
        <w:t>Харьковский национальный медицинский университет</w:t>
      </w:r>
    </w:p>
    <w:p w:rsidR="00A52DC2" w:rsidRPr="00CE1EDD" w:rsidRDefault="00A52DC2" w:rsidP="00A52DC2">
      <w:pPr>
        <w:spacing w:line="360" w:lineRule="auto"/>
        <w:jc w:val="center"/>
        <w:rPr>
          <w:sz w:val="28"/>
          <w:szCs w:val="28"/>
        </w:rPr>
      </w:pPr>
    </w:p>
    <w:p w:rsidR="00A52DC2" w:rsidRPr="00CE1EDD" w:rsidRDefault="00A52DC2" w:rsidP="00A52DC2">
      <w:pPr>
        <w:jc w:val="both"/>
        <w:rPr>
          <w:i/>
          <w:sz w:val="28"/>
          <w:szCs w:val="28"/>
        </w:rPr>
      </w:pPr>
      <w:r w:rsidRPr="00CE1EDD">
        <w:rPr>
          <w:sz w:val="28"/>
          <w:szCs w:val="28"/>
        </w:rPr>
        <w:tab/>
      </w:r>
      <w:r w:rsidRPr="00CE1EDD">
        <w:rPr>
          <w:i/>
          <w:sz w:val="28"/>
          <w:szCs w:val="28"/>
        </w:rPr>
        <w:t xml:space="preserve">Изучено влияние </w:t>
      </w:r>
      <w:proofErr w:type="spellStart"/>
      <w:r w:rsidRPr="00CE1EDD">
        <w:rPr>
          <w:i/>
          <w:sz w:val="28"/>
          <w:szCs w:val="28"/>
        </w:rPr>
        <w:t>субтоксических</w:t>
      </w:r>
      <w:proofErr w:type="spellEnd"/>
      <w:r w:rsidRPr="00CE1EDD">
        <w:rPr>
          <w:i/>
          <w:sz w:val="28"/>
          <w:szCs w:val="28"/>
        </w:rPr>
        <w:t xml:space="preserve"> доз </w:t>
      </w:r>
      <w:proofErr w:type="spellStart"/>
      <w:r w:rsidRPr="00CE1EDD">
        <w:rPr>
          <w:i/>
          <w:sz w:val="28"/>
          <w:szCs w:val="28"/>
        </w:rPr>
        <w:t>Лапроксида</w:t>
      </w:r>
      <w:proofErr w:type="spellEnd"/>
      <w:r w:rsidRPr="00CE1EDD">
        <w:rPr>
          <w:i/>
          <w:sz w:val="28"/>
          <w:szCs w:val="28"/>
        </w:rPr>
        <w:t xml:space="preserve"> Л-512 на метаболическое состояние митохондрий в условиях подострого опыта. Установлено, что </w:t>
      </w:r>
      <w:proofErr w:type="spellStart"/>
      <w:r w:rsidRPr="00CE1EDD">
        <w:rPr>
          <w:i/>
          <w:sz w:val="28"/>
          <w:szCs w:val="28"/>
        </w:rPr>
        <w:t>Лапроксид</w:t>
      </w:r>
      <w:proofErr w:type="spellEnd"/>
      <w:r w:rsidRPr="00CE1EDD">
        <w:rPr>
          <w:i/>
          <w:sz w:val="28"/>
          <w:szCs w:val="28"/>
        </w:rPr>
        <w:t xml:space="preserve"> Л-512 в малых </w:t>
      </w:r>
      <w:proofErr w:type="spellStart"/>
      <w:r w:rsidRPr="00CE1EDD">
        <w:rPr>
          <w:i/>
          <w:sz w:val="28"/>
          <w:szCs w:val="28"/>
        </w:rPr>
        <w:t>субтоксических</w:t>
      </w:r>
      <w:proofErr w:type="spellEnd"/>
      <w:r w:rsidRPr="00CE1EDD">
        <w:rPr>
          <w:i/>
          <w:sz w:val="28"/>
          <w:szCs w:val="28"/>
        </w:rPr>
        <w:t xml:space="preserve"> дозах в условиях длительного перорального поступления в организм способен резко снижать </w:t>
      </w:r>
      <w:proofErr w:type="spellStart"/>
      <w:r w:rsidRPr="00CE1EDD">
        <w:rPr>
          <w:i/>
          <w:sz w:val="28"/>
          <w:szCs w:val="28"/>
        </w:rPr>
        <w:t>энергопродукцию</w:t>
      </w:r>
      <w:proofErr w:type="spellEnd"/>
      <w:r w:rsidRPr="00CE1EDD">
        <w:rPr>
          <w:i/>
          <w:sz w:val="28"/>
          <w:szCs w:val="28"/>
        </w:rPr>
        <w:t xml:space="preserve">, разобщать дыхание и окислительное </w:t>
      </w:r>
      <w:proofErr w:type="spellStart"/>
      <w:r w:rsidRPr="00CE1EDD">
        <w:rPr>
          <w:i/>
          <w:sz w:val="28"/>
          <w:szCs w:val="28"/>
        </w:rPr>
        <w:t>фосфорилирование</w:t>
      </w:r>
      <w:proofErr w:type="spellEnd"/>
      <w:r w:rsidRPr="00CE1EDD">
        <w:rPr>
          <w:i/>
          <w:sz w:val="28"/>
          <w:szCs w:val="28"/>
        </w:rPr>
        <w:t>, которые сопряжены с развитием мембранной патологии.</w:t>
      </w:r>
    </w:p>
    <w:p w:rsidR="00A52DC2" w:rsidRPr="00CE1EDD" w:rsidRDefault="00A52DC2" w:rsidP="00A52DC2">
      <w:pPr>
        <w:jc w:val="both"/>
        <w:rPr>
          <w:i/>
          <w:sz w:val="28"/>
          <w:szCs w:val="28"/>
        </w:rPr>
      </w:pPr>
    </w:p>
    <w:p w:rsidR="00A52DC2" w:rsidRPr="00CE1EDD" w:rsidRDefault="00A52DC2" w:rsidP="00A52DC2">
      <w:pPr>
        <w:ind w:firstLine="708"/>
        <w:jc w:val="both"/>
        <w:rPr>
          <w:sz w:val="28"/>
          <w:szCs w:val="28"/>
        </w:rPr>
      </w:pPr>
      <w:r w:rsidRPr="00CE1EDD">
        <w:rPr>
          <w:b/>
          <w:sz w:val="28"/>
          <w:szCs w:val="28"/>
        </w:rPr>
        <w:t xml:space="preserve">Ключевые слова: </w:t>
      </w:r>
      <w:r w:rsidRPr="00CE1EDD">
        <w:rPr>
          <w:sz w:val="28"/>
          <w:szCs w:val="28"/>
        </w:rPr>
        <w:t>ксенобиотики, энергетический обмен, метаболизм, митохондрии, мембранная патология.</w:t>
      </w:r>
    </w:p>
    <w:p w:rsidR="00A52DC2" w:rsidRPr="00CE1EDD" w:rsidRDefault="00A52DC2" w:rsidP="00A52DC2">
      <w:pPr>
        <w:jc w:val="both"/>
        <w:rPr>
          <w:sz w:val="28"/>
          <w:szCs w:val="28"/>
        </w:rPr>
      </w:pPr>
    </w:p>
    <w:p w:rsidR="00A52DC2" w:rsidRPr="00CE1EDD" w:rsidRDefault="00A52DC2" w:rsidP="00A52DC2">
      <w:pPr>
        <w:ind w:firstLine="708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Проблема химического загрязнения окружающей среды и рационального использования природных ресурсов является наиболее актуальной проблемой в условиях кризисного состояния биосферы. Интенсивная разработка и внедрение в производство новых технологических схем, широкий ассортимент химической продукции, быстрое наращивание производственных мощностей, размещение основных предприятий в густонаселенных местах приводит к формированию неблагоприятных условий проживания человека, что сопряжено с возникновением различных заболеваний и экологически обусловленных патологических состояний [1]. </w:t>
      </w:r>
    </w:p>
    <w:p w:rsidR="00A52DC2" w:rsidRPr="00CE1EDD" w:rsidRDefault="00A52DC2" w:rsidP="00A52DC2">
      <w:pPr>
        <w:ind w:firstLine="708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Многие заболевания, </w:t>
      </w:r>
      <w:proofErr w:type="spellStart"/>
      <w:r w:rsidRPr="00CE1EDD">
        <w:rPr>
          <w:sz w:val="28"/>
          <w:szCs w:val="28"/>
        </w:rPr>
        <w:t>предпатологические</w:t>
      </w:r>
      <w:proofErr w:type="spellEnd"/>
      <w:r w:rsidRPr="00CE1EDD">
        <w:rPr>
          <w:sz w:val="28"/>
          <w:szCs w:val="28"/>
        </w:rPr>
        <w:t xml:space="preserve"> и патологические процессы в организме проявляются нарушением физико-химических и структурно-метаболических свойств биологических мембран. Это отчетливо проявляется при аллергических реакциях, иммунологической недостаточности, сахарном диабете, </w:t>
      </w:r>
      <w:proofErr w:type="spellStart"/>
      <w:r w:rsidRPr="00CE1EDD">
        <w:rPr>
          <w:sz w:val="28"/>
          <w:szCs w:val="28"/>
        </w:rPr>
        <w:t>псориатической</w:t>
      </w:r>
      <w:proofErr w:type="spellEnd"/>
      <w:r w:rsidRPr="00CE1EDD">
        <w:rPr>
          <w:sz w:val="28"/>
          <w:szCs w:val="28"/>
        </w:rPr>
        <w:t xml:space="preserve"> патологии, ионизирующем воздействии на организм, атеросклерозе, гипертонической болезни и др. Среди причин, изменения структуры и функций мембран, важное место занимает токсическое влияние различных химических соединений, которые индуцируют </w:t>
      </w:r>
      <w:proofErr w:type="spellStart"/>
      <w:r w:rsidRPr="00CE1EDD">
        <w:rPr>
          <w:sz w:val="28"/>
          <w:szCs w:val="28"/>
        </w:rPr>
        <w:t>свободнорадикальные</w:t>
      </w:r>
      <w:proofErr w:type="spellEnd"/>
      <w:r w:rsidRPr="00CE1EDD">
        <w:rPr>
          <w:sz w:val="28"/>
          <w:szCs w:val="28"/>
        </w:rPr>
        <w:t xml:space="preserve"> процессы и перекисное окисление липидов (ПОЛ). По мнению ряда авторов, многие ксенобиотики способны осуществлять модификацию клеточных белков, разрушать мембранные структуры за счет активации </w:t>
      </w:r>
      <w:proofErr w:type="spellStart"/>
      <w:r w:rsidRPr="00CE1EDD">
        <w:rPr>
          <w:sz w:val="28"/>
          <w:szCs w:val="28"/>
        </w:rPr>
        <w:t>свободнорадикальных</w:t>
      </w:r>
      <w:proofErr w:type="spellEnd"/>
      <w:r w:rsidRPr="00CE1EDD">
        <w:rPr>
          <w:sz w:val="28"/>
          <w:szCs w:val="28"/>
        </w:rPr>
        <w:t xml:space="preserve"> процессов и ПОЛ [2,3,4,5]. При этом, особенно подчеркивается важная роль цитоплазматических мембран, как </w:t>
      </w:r>
      <w:r w:rsidRPr="00CE1EDD">
        <w:rPr>
          <w:sz w:val="28"/>
          <w:szCs w:val="28"/>
        </w:rPr>
        <w:lastRenderedPageBreak/>
        <w:t xml:space="preserve">активных регуляторов внутриклеточного механизма. Исследования показывают, что изменение структурных компонентов мембран под воздействием чужеродных химических факторов, могут служить сигналом о необходимости функциональной перестройки клетки и внутриклеточных структурно-функциональных единиц (митохондрий, эндоплазматической сети, лизосом, аппарата </w:t>
      </w:r>
      <w:proofErr w:type="spellStart"/>
      <w:r w:rsidRPr="00CE1EDD">
        <w:rPr>
          <w:sz w:val="28"/>
          <w:szCs w:val="28"/>
        </w:rPr>
        <w:t>Гольджи</w:t>
      </w:r>
      <w:proofErr w:type="spellEnd"/>
      <w:r w:rsidRPr="00CE1EDD">
        <w:rPr>
          <w:sz w:val="28"/>
          <w:szCs w:val="28"/>
        </w:rPr>
        <w:t xml:space="preserve">, ядра, </w:t>
      </w:r>
      <w:proofErr w:type="spellStart"/>
      <w:r w:rsidRPr="00CE1EDD">
        <w:rPr>
          <w:sz w:val="28"/>
          <w:szCs w:val="28"/>
        </w:rPr>
        <w:t>пероксисом</w:t>
      </w:r>
      <w:proofErr w:type="spellEnd"/>
      <w:r w:rsidRPr="00CE1EDD">
        <w:rPr>
          <w:sz w:val="28"/>
          <w:szCs w:val="28"/>
        </w:rPr>
        <w:t xml:space="preserve"> и др.). Высокой чувствительностью к воздействию химических соединений обладают </w:t>
      </w:r>
      <w:proofErr w:type="spellStart"/>
      <w:r w:rsidRPr="00CE1EDD">
        <w:rPr>
          <w:sz w:val="28"/>
          <w:szCs w:val="28"/>
        </w:rPr>
        <w:t>митохондриальные</w:t>
      </w:r>
      <w:proofErr w:type="spellEnd"/>
      <w:r w:rsidRPr="00CE1EDD">
        <w:rPr>
          <w:sz w:val="28"/>
          <w:szCs w:val="28"/>
        </w:rPr>
        <w:t xml:space="preserve"> мембраны и их структурно-функциональные компоненты – белки, фосфолипиды, ферменты. В связи с тесным единством структуры, функций и метаболизма, поиск </w:t>
      </w:r>
      <w:proofErr w:type="spellStart"/>
      <w:r w:rsidRPr="00CE1EDD">
        <w:rPr>
          <w:sz w:val="28"/>
          <w:szCs w:val="28"/>
        </w:rPr>
        <w:t>критериально</w:t>
      </w:r>
      <w:proofErr w:type="spellEnd"/>
      <w:r w:rsidRPr="00CE1EDD">
        <w:rPr>
          <w:sz w:val="28"/>
          <w:szCs w:val="28"/>
        </w:rPr>
        <w:t xml:space="preserve">-значимых показателей </w:t>
      </w:r>
      <w:proofErr w:type="spellStart"/>
      <w:r w:rsidRPr="00CE1EDD">
        <w:rPr>
          <w:sz w:val="28"/>
          <w:szCs w:val="28"/>
        </w:rPr>
        <w:t>донозологической</w:t>
      </w:r>
      <w:proofErr w:type="spellEnd"/>
      <w:r w:rsidRPr="00CE1EDD">
        <w:rPr>
          <w:sz w:val="28"/>
          <w:szCs w:val="28"/>
        </w:rPr>
        <w:t xml:space="preserve"> диагностики при формировании патологических процессов, необходимо осуществлять, прежде всего, изучая особенности структурно-метаболических нарушений функционирования клеточных мембран. </w:t>
      </w:r>
    </w:p>
    <w:p w:rsidR="00A52DC2" w:rsidRPr="00CE1EDD" w:rsidRDefault="00A52DC2" w:rsidP="00A52DC2">
      <w:pPr>
        <w:jc w:val="both"/>
        <w:rPr>
          <w:sz w:val="28"/>
          <w:szCs w:val="28"/>
        </w:rPr>
      </w:pPr>
      <w:r w:rsidRPr="00CE1EDD">
        <w:rPr>
          <w:sz w:val="28"/>
          <w:szCs w:val="28"/>
        </w:rPr>
        <w:tab/>
        <w:t xml:space="preserve">Учитывая вышесказанное, целью данной работы являлось изучение влияния малых </w:t>
      </w:r>
      <w:proofErr w:type="spellStart"/>
      <w:r w:rsidRPr="00CE1EDD">
        <w:rPr>
          <w:sz w:val="28"/>
          <w:szCs w:val="28"/>
        </w:rPr>
        <w:t>субтоксических</w:t>
      </w:r>
      <w:proofErr w:type="spellEnd"/>
      <w:r w:rsidRPr="00CE1EDD">
        <w:rPr>
          <w:sz w:val="28"/>
          <w:szCs w:val="28"/>
        </w:rPr>
        <w:t xml:space="preserve"> доз </w:t>
      </w:r>
      <w:proofErr w:type="spellStart"/>
      <w:r w:rsidRPr="00CE1EDD">
        <w:rPr>
          <w:sz w:val="28"/>
          <w:szCs w:val="28"/>
        </w:rPr>
        <w:t>лапроксидов</w:t>
      </w:r>
      <w:proofErr w:type="spellEnd"/>
      <w:r w:rsidRPr="00CE1EDD">
        <w:rPr>
          <w:sz w:val="28"/>
          <w:szCs w:val="28"/>
        </w:rPr>
        <w:t xml:space="preserve"> на метаболическое состояние митохондрий и процессы биоэнергетики в условиях подострого токсикологического эксперимента.</w:t>
      </w:r>
    </w:p>
    <w:p w:rsidR="00A52DC2" w:rsidRPr="00CE1EDD" w:rsidRDefault="00A52DC2" w:rsidP="00A52DC2">
      <w:pPr>
        <w:jc w:val="both"/>
        <w:rPr>
          <w:sz w:val="28"/>
          <w:szCs w:val="28"/>
        </w:rPr>
      </w:pPr>
      <w:r w:rsidRPr="00CE1EDD">
        <w:rPr>
          <w:sz w:val="28"/>
          <w:szCs w:val="28"/>
        </w:rPr>
        <w:t>Объектом исследования была выбрана новая группа химических веществ, имеющая товарное название “</w:t>
      </w:r>
      <w:proofErr w:type="spellStart"/>
      <w:r w:rsidRPr="00CE1EDD">
        <w:rPr>
          <w:sz w:val="28"/>
          <w:szCs w:val="28"/>
        </w:rPr>
        <w:t>Лапроксиды</w:t>
      </w:r>
      <w:proofErr w:type="spellEnd"/>
      <w:r w:rsidRPr="00CE1EDD">
        <w:rPr>
          <w:sz w:val="28"/>
          <w:szCs w:val="28"/>
        </w:rPr>
        <w:t xml:space="preserve">” с регламентированными физико-химическими свойствами. К этим веществам относится </w:t>
      </w:r>
      <w:proofErr w:type="spellStart"/>
      <w:r w:rsidRPr="00CE1EDD">
        <w:rPr>
          <w:sz w:val="28"/>
          <w:szCs w:val="28"/>
        </w:rPr>
        <w:t>олигоэфирмоноэпоксид</w:t>
      </w:r>
      <w:proofErr w:type="spellEnd"/>
      <w:r w:rsidRPr="00CE1EDD">
        <w:rPr>
          <w:sz w:val="28"/>
          <w:szCs w:val="28"/>
        </w:rPr>
        <w:t xml:space="preserve"> молекулярной массы 512 (Л-512).</w:t>
      </w:r>
    </w:p>
    <w:p w:rsidR="00A52DC2" w:rsidRPr="00CE1EDD" w:rsidRDefault="00A52DC2" w:rsidP="00A52DC2">
      <w:pPr>
        <w:ind w:firstLine="708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Программа исследования предусматривала проведение длительного подострого токсикологического опыта на половозрелых белых крысах популяции </w:t>
      </w:r>
      <w:proofErr w:type="spellStart"/>
      <w:r w:rsidRPr="00CE1EDD">
        <w:rPr>
          <w:sz w:val="28"/>
          <w:szCs w:val="28"/>
        </w:rPr>
        <w:t>Вистар</w:t>
      </w:r>
      <w:proofErr w:type="spellEnd"/>
      <w:r w:rsidRPr="00CE1EDD">
        <w:rPr>
          <w:sz w:val="28"/>
          <w:szCs w:val="28"/>
        </w:rPr>
        <w:t xml:space="preserve"> массой 190-200г. В соответствии с условиями опыта, животным на протяжении 1,5 месяцев ежедневно утром натощак с помощью металлического зонда перорально вводились водные растворы </w:t>
      </w:r>
      <w:proofErr w:type="spellStart"/>
      <w:r w:rsidRPr="00CE1EDD">
        <w:rPr>
          <w:sz w:val="28"/>
          <w:szCs w:val="28"/>
        </w:rPr>
        <w:t>Лапроксидов</w:t>
      </w:r>
      <w:proofErr w:type="spellEnd"/>
      <w:r w:rsidRPr="00CE1EDD">
        <w:rPr>
          <w:sz w:val="28"/>
          <w:szCs w:val="28"/>
        </w:rPr>
        <w:t xml:space="preserve"> в дозах 1/10, 1/100 и 1/1000 ДЛ</w:t>
      </w:r>
      <w:r w:rsidRPr="00CE1EDD">
        <w:rPr>
          <w:sz w:val="28"/>
          <w:szCs w:val="28"/>
          <w:vertAlign w:val="subscript"/>
        </w:rPr>
        <w:t>50</w:t>
      </w:r>
      <w:r w:rsidRPr="00CE1EDD">
        <w:rPr>
          <w:sz w:val="28"/>
          <w:szCs w:val="28"/>
        </w:rPr>
        <w:t>. Контрольная группа получала соответствующие объемы питьевой воды.</w:t>
      </w:r>
    </w:p>
    <w:p w:rsidR="00A52DC2" w:rsidRPr="00CE1EDD" w:rsidRDefault="00A52DC2" w:rsidP="00A52DC2">
      <w:pPr>
        <w:ind w:firstLine="708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По завершении подострого эксперимента изучалось метаболическое состояние митохондрий. Для оценки дыхания митохондрий и окислительного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, </w:t>
      </w:r>
      <w:proofErr w:type="spellStart"/>
      <w:r w:rsidRPr="00CE1EDD">
        <w:rPr>
          <w:sz w:val="28"/>
          <w:szCs w:val="28"/>
        </w:rPr>
        <w:t>полярографически</w:t>
      </w:r>
      <w:proofErr w:type="spellEnd"/>
      <w:r w:rsidRPr="00CE1EDD">
        <w:rPr>
          <w:sz w:val="28"/>
          <w:szCs w:val="28"/>
        </w:rPr>
        <w:t xml:space="preserve"> определяли скорость потребления кислорода в присутствии акцептора - (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 xml:space="preserve">3). В этом метаболическом состоянии митохондрий содержится избыток субстрата окисления и АДФ, что сопряжено с наибольшей интенсивностью их дыхания. На следующем этапе исследовалось потребление кислорода митохондриями после добавления </w:t>
      </w:r>
      <w:proofErr w:type="spellStart"/>
      <w:r w:rsidRPr="00CE1EDD">
        <w:rPr>
          <w:sz w:val="28"/>
          <w:szCs w:val="28"/>
        </w:rPr>
        <w:t>сукцината</w:t>
      </w:r>
      <w:proofErr w:type="spellEnd"/>
      <w:r w:rsidRPr="00CE1EDD">
        <w:rPr>
          <w:sz w:val="28"/>
          <w:szCs w:val="28"/>
        </w:rPr>
        <w:t xml:space="preserve"> - (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 xml:space="preserve">4), а также после исчерпания добавляемого  АДФ в присутствии </w:t>
      </w:r>
      <w:proofErr w:type="spellStart"/>
      <w:r w:rsidRPr="00CE1EDD">
        <w:rPr>
          <w:sz w:val="28"/>
          <w:szCs w:val="28"/>
        </w:rPr>
        <w:t>разобщителя</w:t>
      </w:r>
      <w:proofErr w:type="spellEnd"/>
      <w:r w:rsidRPr="00CE1EDD">
        <w:rPr>
          <w:sz w:val="28"/>
          <w:szCs w:val="28"/>
        </w:rPr>
        <w:t xml:space="preserve"> – 2,4-динитрофенола (2,4-ДНФ) – метаболическое состояние (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>4'), которое характеризуется дефицитом только АДФ. Это метаболическое состояние называют контролируемым, и оно характеризуется низкой интенсивностью дыхания. При этом рассчитывали: отношение АДФ/О</w:t>
      </w:r>
      <w:proofErr w:type="gramStart"/>
      <w:r w:rsidRPr="00CE1EDD">
        <w:rPr>
          <w:sz w:val="28"/>
          <w:szCs w:val="28"/>
          <w:vertAlign w:val="subscript"/>
        </w:rPr>
        <w:t>2</w:t>
      </w:r>
      <w:proofErr w:type="gramEnd"/>
      <w:r w:rsidRPr="00CE1EDD">
        <w:rPr>
          <w:sz w:val="28"/>
          <w:szCs w:val="28"/>
        </w:rPr>
        <w:t xml:space="preserve">, дыхательный коэффициент (ДК) </w:t>
      </w:r>
      <w:proofErr w:type="spellStart"/>
      <w:r w:rsidRPr="00CE1EDD">
        <w:rPr>
          <w:sz w:val="28"/>
          <w:szCs w:val="28"/>
        </w:rPr>
        <w:t>Ларди</w:t>
      </w:r>
      <w:proofErr w:type="spellEnd"/>
      <w:r w:rsidRPr="00CE1EDD">
        <w:rPr>
          <w:sz w:val="28"/>
          <w:szCs w:val="28"/>
        </w:rPr>
        <w:t xml:space="preserve"> и активность АТФ-</w:t>
      </w:r>
      <w:proofErr w:type="spellStart"/>
      <w:r w:rsidRPr="00CE1EDD">
        <w:rPr>
          <w:sz w:val="28"/>
          <w:szCs w:val="28"/>
        </w:rPr>
        <w:t>гидролазных</w:t>
      </w:r>
      <w:proofErr w:type="spellEnd"/>
      <w:r w:rsidRPr="00CE1EDD">
        <w:rPr>
          <w:sz w:val="28"/>
          <w:szCs w:val="28"/>
        </w:rPr>
        <w:t xml:space="preserve"> реакций. В качестве субстрата окисления использовали </w:t>
      </w:r>
      <w:proofErr w:type="spellStart"/>
      <w:r w:rsidRPr="00CE1EDD">
        <w:rPr>
          <w:sz w:val="28"/>
          <w:szCs w:val="28"/>
        </w:rPr>
        <w:t>сукцинат</w:t>
      </w:r>
      <w:proofErr w:type="spellEnd"/>
      <w:r w:rsidRPr="00CE1EDD">
        <w:rPr>
          <w:sz w:val="28"/>
          <w:szCs w:val="28"/>
          <w:lang w:val="uk-UA"/>
        </w:rPr>
        <w:t xml:space="preserve"> </w:t>
      </w:r>
      <w:r w:rsidRPr="00CE1EDD">
        <w:rPr>
          <w:sz w:val="28"/>
          <w:szCs w:val="28"/>
        </w:rPr>
        <w:t xml:space="preserve">[6]. </w:t>
      </w:r>
    </w:p>
    <w:p w:rsidR="00A52DC2" w:rsidRPr="00CE1EDD" w:rsidRDefault="00A52DC2" w:rsidP="00A52DC2">
      <w:pPr>
        <w:ind w:firstLine="708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Определение </w:t>
      </w:r>
      <w:proofErr w:type="spellStart"/>
      <w:r w:rsidRPr="00CE1EDD">
        <w:rPr>
          <w:sz w:val="28"/>
          <w:szCs w:val="28"/>
          <w:lang w:val="en-US"/>
        </w:rPr>
        <w:t>Ca</w:t>
      </w:r>
      <w:proofErr w:type="spellEnd"/>
      <w:r w:rsidRPr="00CE1EDD">
        <w:rPr>
          <w:sz w:val="28"/>
          <w:szCs w:val="28"/>
          <w:vertAlign w:val="superscript"/>
        </w:rPr>
        <w:t>2+</w:t>
      </w:r>
      <w:r w:rsidRPr="00CE1EDD">
        <w:rPr>
          <w:sz w:val="28"/>
          <w:szCs w:val="28"/>
        </w:rPr>
        <w:t xml:space="preserve">-, </w:t>
      </w:r>
      <w:r w:rsidRPr="00CE1EDD">
        <w:rPr>
          <w:sz w:val="28"/>
          <w:szCs w:val="28"/>
          <w:lang w:val="en-US"/>
        </w:rPr>
        <w:t>Mg</w:t>
      </w:r>
      <w:r w:rsidRPr="00CE1EDD">
        <w:rPr>
          <w:sz w:val="28"/>
          <w:szCs w:val="28"/>
          <w:vertAlign w:val="superscript"/>
        </w:rPr>
        <w:t>2+</w:t>
      </w:r>
      <w:r w:rsidRPr="00CE1EDD">
        <w:rPr>
          <w:sz w:val="28"/>
          <w:szCs w:val="28"/>
        </w:rPr>
        <w:t>-</w:t>
      </w:r>
      <w:proofErr w:type="gramStart"/>
      <w:r w:rsidRPr="00CE1EDD">
        <w:rPr>
          <w:sz w:val="28"/>
          <w:szCs w:val="28"/>
        </w:rPr>
        <w:t>зависимой</w:t>
      </w:r>
      <w:proofErr w:type="gramEnd"/>
      <w:r w:rsidRPr="00CE1EDD">
        <w:rPr>
          <w:sz w:val="28"/>
          <w:szCs w:val="28"/>
        </w:rPr>
        <w:t xml:space="preserve"> АТФ-азы в </w:t>
      </w:r>
      <w:proofErr w:type="spellStart"/>
      <w:r w:rsidRPr="00CE1EDD">
        <w:rPr>
          <w:sz w:val="28"/>
          <w:szCs w:val="28"/>
        </w:rPr>
        <w:t>гепатоцитах</w:t>
      </w:r>
      <w:proofErr w:type="spellEnd"/>
      <w:r w:rsidRPr="00CE1EDD">
        <w:rPr>
          <w:sz w:val="28"/>
          <w:szCs w:val="28"/>
        </w:rPr>
        <w:t xml:space="preserve"> осуществлялось общепринятым методом [7]. </w:t>
      </w:r>
    </w:p>
    <w:p w:rsidR="00A52DC2" w:rsidRPr="00CE1EDD" w:rsidRDefault="00A52DC2" w:rsidP="00A52DC2">
      <w:pPr>
        <w:jc w:val="both"/>
        <w:rPr>
          <w:sz w:val="28"/>
          <w:szCs w:val="28"/>
        </w:rPr>
      </w:pPr>
      <w:r w:rsidRPr="00CE1EDD">
        <w:rPr>
          <w:sz w:val="28"/>
          <w:szCs w:val="28"/>
        </w:rPr>
        <w:tab/>
        <w:t>Полученные результаты обрабатывались методом вариационной статистики с использованием критерия Стьюдента-Фишера.</w:t>
      </w:r>
    </w:p>
    <w:p w:rsidR="00A52DC2" w:rsidRPr="00CE1EDD" w:rsidRDefault="00A52DC2" w:rsidP="00A52DC2">
      <w:pPr>
        <w:ind w:firstLine="708"/>
        <w:jc w:val="both"/>
        <w:rPr>
          <w:sz w:val="28"/>
          <w:szCs w:val="28"/>
        </w:rPr>
      </w:pPr>
      <w:proofErr w:type="gramStart"/>
      <w:r w:rsidRPr="00CE1EDD">
        <w:rPr>
          <w:sz w:val="28"/>
          <w:szCs w:val="28"/>
        </w:rPr>
        <w:lastRenderedPageBreak/>
        <w:t xml:space="preserve">Результаты изучения влияния </w:t>
      </w:r>
      <w:proofErr w:type="spellStart"/>
      <w:r w:rsidRPr="00CE1EDD">
        <w:rPr>
          <w:sz w:val="28"/>
          <w:szCs w:val="28"/>
        </w:rPr>
        <w:t>субтоксических</w:t>
      </w:r>
      <w:proofErr w:type="spellEnd"/>
      <w:r w:rsidRPr="00CE1EDD">
        <w:rPr>
          <w:sz w:val="28"/>
          <w:szCs w:val="28"/>
        </w:rPr>
        <w:t xml:space="preserve"> доз </w:t>
      </w:r>
      <w:proofErr w:type="spellStart"/>
      <w:r w:rsidRPr="00CE1EDD">
        <w:rPr>
          <w:sz w:val="28"/>
          <w:szCs w:val="28"/>
        </w:rPr>
        <w:t>лапроксида</w:t>
      </w:r>
      <w:proofErr w:type="spellEnd"/>
      <w:r w:rsidRPr="00CE1EDD">
        <w:rPr>
          <w:sz w:val="28"/>
          <w:szCs w:val="28"/>
        </w:rPr>
        <w:t xml:space="preserve"> Л-512 на метаболические состояния митохондрий обнаружили, что ксенобиотик в 1/10 и 1/100 ДЛ</w:t>
      </w:r>
      <w:r w:rsidRPr="00CE1EDD">
        <w:rPr>
          <w:sz w:val="28"/>
          <w:szCs w:val="28"/>
          <w:vertAlign w:val="subscript"/>
        </w:rPr>
        <w:t>50</w:t>
      </w:r>
      <w:r w:rsidRPr="00CE1EDD">
        <w:rPr>
          <w:sz w:val="28"/>
          <w:szCs w:val="28"/>
        </w:rPr>
        <w:t xml:space="preserve"> значительно снижает дыхание митохондрий после добавления субстрата окисления – </w:t>
      </w:r>
      <w:proofErr w:type="spellStart"/>
      <w:r w:rsidRPr="00CE1EDD">
        <w:rPr>
          <w:sz w:val="28"/>
          <w:szCs w:val="28"/>
        </w:rPr>
        <w:t>сукцината</w:t>
      </w:r>
      <w:proofErr w:type="spellEnd"/>
      <w:r w:rsidRPr="00CE1EDD">
        <w:rPr>
          <w:sz w:val="28"/>
          <w:szCs w:val="28"/>
        </w:rPr>
        <w:t xml:space="preserve"> (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>4), дыхание после добавления АДФ (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 xml:space="preserve">3) и дыхание митохондрий после добавления </w:t>
      </w:r>
      <w:proofErr w:type="spellStart"/>
      <w:r w:rsidRPr="00CE1EDD">
        <w:rPr>
          <w:sz w:val="28"/>
          <w:szCs w:val="28"/>
        </w:rPr>
        <w:t>разобщителя</w:t>
      </w:r>
      <w:proofErr w:type="spellEnd"/>
      <w:r w:rsidRPr="00CE1EDD">
        <w:rPr>
          <w:sz w:val="28"/>
          <w:szCs w:val="28"/>
        </w:rPr>
        <w:t xml:space="preserve"> окисления и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 – 2,4-ДНФ (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>4</w:t>
      </w:r>
      <w:r w:rsidRPr="00CE1EDD">
        <w:rPr>
          <w:sz w:val="28"/>
          <w:szCs w:val="28"/>
          <w:vertAlign w:val="superscript"/>
        </w:rPr>
        <w:t>1</w:t>
      </w:r>
      <w:r w:rsidRPr="00CE1EDD">
        <w:rPr>
          <w:sz w:val="28"/>
          <w:szCs w:val="28"/>
        </w:rPr>
        <w:t>) по сравнению с контрольной группой наблюдения (табл. 1.).</w:t>
      </w:r>
      <w:proofErr w:type="gramEnd"/>
      <w:r w:rsidRPr="00CE1EDD">
        <w:rPr>
          <w:sz w:val="28"/>
          <w:szCs w:val="28"/>
        </w:rPr>
        <w:t xml:space="preserve"> Во всех случаях </w:t>
      </w:r>
      <w:proofErr w:type="spellStart"/>
      <w:r w:rsidRPr="00CE1EDD">
        <w:rPr>
          <w:sz w:val="28"/>
          <w:szCs w:val="28"/>
        </w:rPr>
        <w:t>токсификации</w:t>
      </w:r>
      <w:proofErr w:type="spellEnd"/>
      <w:r w:rsidRPr="00CE1EDD">
        <w:rPr>
          <w:sz w:val="28"/>
          <w:szCs w:val="28"/>
        </w:rPr>
        <w:t xml:space="preserve"> Л-512 доза 1/1000 ДЛ</w:t>
      </w:r>
      <w:r w:rsidRPr="00CE1EDD">
        <w:rPr>
          <w:sz w:val="28"/>
          <w:szCs w:val="28"/>
          <w:vertAlign w:val="subscript"/>
        </w:rPr>
        <w:t>50</w:t>
      </w:r>
      <w:r w:rsidRPr="00CE1EDD">
        <w:rPr>
          <w:sz w:val="28"/>
          <w:szCs w:val="28"/>
        </w:rPr>
        <w:t xml:space="preserve"> не оказывала воздействие на структурно-функциональное состояние митохондрий в условиях длительного перорального поступления  в организм. Исследования обнаружили существенное снижение коэффициента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, что может быть связано с разобщением дыхания и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, которое сопряжено также с ингибированием поглощения неорганического фосфата для синтеза АТФ. </w:t>
      </w:r>
      <w:proofErr w:type="gramStart"/>
      <w:r w:rsidRPr="00CE1EDD">
        <w:rPr>
          <w:sz w:val="28"/>
          <w:szCs w:val="28"/>
        </w:rPr>
        <w:t xml:space="preserve">Результаты выявили также значительное снижение потребление кислорода митохондриями </w:t>
      </w:r>
      <w:proofErr w:type="spellStart"/>
      <w:r w:rsidRPr="00CE1EDD">
        <w:rPr>
          <w:sz w:val="28"/>
          <w:szCs w:val="28"/>
        </w:rPr>
        <w:t>гепатоцитов</w:t>
      </w:r>
      <w:proofErr w:type="spellEnd"/>
      <w:r w:rsidRPr="00CE1EDD">
        <w:rPr>
          <w:sz w:val="28"/>
          <w:szCs w:val="28"/>
        </w:rPr>
        <w:t xml:space="preserve"> под влиянием исследуемого ксенобиотика, что подтверждалось уменьшением ДК </w:t>
      </w:r>
      <w:proofErr w:type="spellStart"/>
      <w:r w:rsidRPr="00CE1EDD">
        <w:rPr>
          <w:sz w:val="28"/>
          <w:szCs w:val="28"/>
        </w:rPr>
        <w:t>Ларди</w:t>
      </w:r>
      <w:proofErr w:type="spellEnd"/>
      <w:r w:rsidRPr="00CE1EDD">
        <w:rPr>
          <w:sz w:val="28"/>
          <w:szCs w:val="28"/>
        </w:rPr>
        <w:t xml:space="preserve">, который отражает отношение скорости поглощения кислорода в метаболическом </w:t>
      </w:r>
      <w:proofErr w:type="spellStart"/>
      <w:r w:rsidRPr="00CE1EDD">
        <w:rPr>
          <w:sz w:val="28"/>
          <w:szCs w:val="28"/>
        </w:rPr>
        <w:t>сотоянии</w:t>
      </w:r>
      <w:proofErr w:type="spellEnd"/>
      <w:r w:rsidRPr="00CE1EDD">
        <w:rPr>
          <w:sz w:val="28"/>
          <w:szCs w:val="28"/>
        </w:rPr>
        <w:t xml:space="preserve"> ,,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>3”  к скорости поглощения кислорода в состоянии ,,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 xml:space="preserve">4” до ввода в ячейку АДФ. </w:t>
      </w:r>
      <w:proofErr w:type="gramEnd"/>
    </w:p>
    <w:p w:rsidR="00A52DC2" w:rsidRPr="00CE1EDD" w:rsidRDefault="00A52DC2" w:rsidP="00A52DC2">
      <w:pPr>
        <w:jc w:val="both"/>
        <w:rPr>
          <w:sz w:val="28"/>
          <w:szCs w:val="28"/>
        </w:rPr>
      </w:pPr>
      <w:r w:rsidRPr="00CE1EDD">
        <w:rPr>
          <w:sz w:val="28"/>
          <w:szCs w:val="28"/>
        </w:rPr>
        <w:tab/>
        <w:t xml:space="preserve">Полученные данные свидетельствуют, что </w:t>
      </w:r>
      <w:proofErr w:type="spellStart"/>
      <w:r w:rsidRPr="00CE1EDD">
        <w:rPr>
          <w:sz w:val="28"/>
          <w:szCs w:val="28"/>
        </w:rPr>
        <w:t>Лапроксиды</w:t>
      </w:r>
      <w:proofErr w:type="spellEnd"/>
      <w:r w:rsidRPr="00CE1EDD">
        <w:rPr>
          <w:sz w:val="28"/>
          <w:szCs w:val="28"/>
        </w:rPr>
        <w:t xml:space="preserve"> снижают долю </w:t>
      </w:r>
      <w:proofErr w:type="spellStart"/>
      <w:r w:rsidRPr="00CE1EDD">
        <w:rPr>
          <w:sz w:val="28"/>
          <w:szCs w:val="28"/>
        </w:rPr>
        <w:t>фосфорилирующего</w:t>
      </w:r>
      <w:proofErr w:type="spellEnd"/>
      <w:r w:rsidRPr="00CE1EDD">
        <w:rPr>
          <w:sz w:val="28"/>
          <w:szCs w:val="28"/>
        </w:rPr>
        <w:t xml:space="preserve"> окисления  в митохондриях </w:t>
      </w:r>
      <w:proofErr w:type="spellStart"/>
      <w:r w:rsidRPr="00CE1EDD">
        <w:rPr>
          <w:sz w:val="28"/>
          <w:szCs w:val="28"/>
        </w:rPr>
        <w:t>гепатоцитов</w:t>
      </w:r>
      <w:proofErr w:type="spellEnd"/>
      <w:r w:rsidRPr="00CE1EDD">
        <w:rPr>
          <w:sz w:val="28"/>
          <w:szCs w:val="28"/>
        </w:rPr>
        <w:t xml:space="preserve"> и увеличивают долю свободного дыхания. На это указывает снижение интенсивности дыхания в </w:t>
      </w:r>
      <w:proofErr w:type="spellStart"/>
      <w:r w:rsidRPr="00CE1EDD">
        <w:rPr>
          <w:sz w:val="28"/>
          <w:szCs w:val="28"/>
        </w:rPr>
        <w:t>безакцепторной</w:t>
      </w:r>
      <w:proofErr w:type="spellEnd"/>
      <w:r w:rsidRPr="00CE1EDD">
        <w:rPr>
          <w:sz w:val="28"/>
          <w:szCs w:val="28"/>
        </w:rPr>
        <w:t xml:space="preserve"> среде и в третьем метаболическом состоянии </w:t>
      </w:r>
      <w:r w:rsidRPr="00CE1EDD">
        <w:rPr>
          <w:sz w:val="28"/>
          <w:szCs w:val="28"/>
          <w:lang w:val="en-US"/>
        </w:rPr>
        <w:t>V</w:t>
      </w:r>
      <w:r w:rsidRPr="00CE1EDD">
        <w:rPr>
          <w:sz w:val="28"/>
          <w:szCs w:val="28"/>
        </w:rPr>
        <w:t>3 после добавления АДФ, соответственно на 53,69% и 44,61% под влиянием 1/10 и 1/100 ДЛ</w:t>
      </w:r>
      <w:r w:rsidRPr="00CE1EDD">
        <w:rPr>
          <w:sz w:val="28"/>
          <w:szCs w:val="28"/>
          <w:vertAlign w:val="subscript"/>
        </w:rPr>
        <w:t>50</w:t>
      </w:r>
      <w:r w:rsidRPr="00CE1EDD">
        <w:rPr>
          <w:sz w:val="28"/>
          <w:szCs w:val="28"/>
        </w:rPr>
        <w:t xml:space="preserve"> </w:t>
      </w:r>
      <w:proofErr w:type="spellStart"/>
      <w:r w:rsidRPr="00CE1EDD">
        <w:rPr>
          <w:sz w:val="28"/>
          <w:szCs w:val="28"/>
        </w:rPr>
        <w:t>Лапроксидов</w:t>
      </w:r>
      <w:proofErr w:type="spellEnd"/>
      <w:r w:rsidRPr="00CE1EDD">
        <w:rPr>
          <w:sz w:val="28"/>
          <w:szCs w:val="28"/>
        </w:rPr>
        <w:t xml:space="preserve"> Л-512. Установленное снижение дыхания и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 АДФ  в митохондриях может быть обусловлено ингибированием активности </w:t>
      </w:r>
      <w:proofErr w:type="spellStart"/>
      <w:r w:rsidRPr="00CE1EDD">
        <w:rPr>
          <w:sz w:val="28"/>
          <w:szCs w:val="28"/>
        </w:rPr>
        <w:t>мембраноструктурированного</w:t>
      </w:r>
      <w:proofErr w:type="spellEnd"/>
      <w:r w:rsidRPr="00CE1EDD">
        <w:rPr>
          <w:sz w:val="28"/>
          <w:szCs w:val="28"/>
        </w:rPr>
        <w:t xml:space="preserve">  фермента </w:t>
      </w:r>
      <w:proofErr w:type="spellStart"/>
      <w:r w:rsidRPr="00CE1EDD">
        <w:rPr>
          <w:sz w:val="28"/>
          <w:szCs w:val="28"/>
        </w:rPr>
        <w:t>сукцинатдегидрогеназы</w:t>
      </w:r>
      <w:proofErr w:type="spellEnd"/>
      <w:r w:rsidRPr="00CE1EDD">
        <w:rPr>
          <w:sz w:val="28"/>
          <w:szCs w:val="28"/>
        </w:rPr>
        <w:t xml:space="preserve">, что сопровождается разобщением дыхания и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 (табл. 1).</w:t>
      </w:r>
    </w:p>
    <w:p w:rsidR="00A52DC2" w:rsidRPr="00CE1EDD" w:rsidRDefault="00A52DC2" w:rsidP="00A52DC2">
      <w:pPr>
        <w:jc w:val="right"/>
        <w:rPr>
          <w:i/>
          <w:iCs/>
          <w:sz w:val="28"/>
          <w:szCs w:val="28"/>
        </w:rPr>
      </w:pPr>
      <w:r w:rsidRPr="00CE1EDD">
        <w:rPr>
          <w:i/>
          <w:iCs/>
          <w:sz w:val="28"/>
          <w:szCs w:val="28"/>
        </w:rPr>
        <w:t>Таблица 1.</w:t>
      </w:r>
    </w:p>
    <w:p w:rsidR="00A52DC2" w:rsidRPr="00CE1EDD" w:rsidRDefault="00A52DC2" w:rsidP="00A52DC2">
      <w:pPr>
        <w:jc w:val="center"/>
        <w:rPr>
          <w:b/>
          <w:bCs/>
          <w:sz w:val="28"/>
          <w:szCs w:val="28"/>
        </w:rPr>
      </w:pPr>
      <w:r w:rsidRPr="00CE1EDD">
        <w:rPr>
          <w:b/>
          <w:bCs/>
          <w:sz w:val="28"/>
          <w:szCs w:val="28"/>
        </w:rPr>
        <w:t xml:space="preserve">Влияние </w:t>
      </w:r>
      <w:proofErr w:type="spellStart"/>
      <w:r w:rsidRPr="00CE1EDD">
        <w:rPr>
          <w:b/>
          <w:bCs/>
          <w:sz w:val="28"/>
          <w:szCs w:val="28"/>
        </w:rPr>
        <w:t>субтоксических</w:t>
      </w:r>
      <w:proofErr w:type="spellEnd"/>
      <w:r w:rsidRPr="00CE1EDD">
        <w:rPr>
          <w:b/>
          <w:bCs/>
          <w:sz w:val="28"/>
          <w:szCs w:val="28"/>
        </w:rPr>
        <w:t xml:space="preserve"> доз </w:t>
      </w:r>
      <w:proofErr w:type="spellStart"/>
      <w:r w:rsidRPr="00CE1EDD">
        <w:rPr>
          <w:b/>
          <w:bCs/>
          <w:sz w:val="28"/>
          <w:szCs w:val="28"/>
        </w:rPr>
        <w:t>лапроксида</w:t>
      </w:r>
      <w:proofErr w:type="spellEnd"/>
      <w:r w:rsidRPr="00CE1EDD">
        <w:rPr>
          <w:b/>
          <w:bCs/>
          <w:sz w:val="28"/>
          <w:szCs w:val="28"/>
        </w:rPr>
        <w:t xml:space="preserve"> Л-512 на метаболическое состояние митохондрий в подостром опыте</w:t>
      </w:r>
    </w:p>
    <w:p w:rsidR="00A52DC2" w:rsidRPr="00CE1EDD" w:rsidRDefault="00A52DC2" w:rsidP="00A52DC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620"/>
        <w:gridCol w:w="1440"/>
        <w:gridCol w:w="1440"/>
      </w:tblGrid>
      <w:tr w:rsidR="00A52DC2" w:rsidRPr="00CE1EDD" w:rsidTr="00CD22EB">
        <w:trPr>
          <w:trHeight w:val="480"/>
        </w:trPr>
        <w:tc>
          <w:tcPr>
            <w:tcW w:w="3600" w:type="dxa"/>
            <w:vMerge w:val="restart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Показатели, ткани</w:t>
            </w:r>
          </w:p>
        </w:tc>
        <w:tc>
          <w:tcPr>
            <w:tcW w:w="6120" w:type="dxa"/>
            <w:gridSpan w:val="4"/>
          </w:tcPr>
          <w:p w:rsidR="00A52DC2" w:rsidRPr="00CE1EDD" w:rsidRDefault="00A52DC2" w:rsidP="00CD22EB">
            <w:pPr>
              <w:jc w:val="center"/>
              <w:rPr>
                <w:bCs/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Группа наблюдения (ДЛ</w:t>
            </w:r>
            <w:r w:rsidRPr="00CE1EDD">
              <w:rPr>
                <w:sz w:val="28"/>
                <w:szCs w:val="28"/>
                <w:vertAlign w:val="subscript"/>
              </w:rPr>
              <w:t>50</w:t>
            </w:r>
            <w:r w:rsidRPr="00CE1EDD">
              <w:rPr>
                <w:sz w:val="28"/>
                <w:szCs w:val="28"/>
              </w:rPr>
              <w:t>), М</w:t>
            </w:r>
            <w:r w:rsidRPr="00CE1EDD">
              <w:rPr>
                <w:bCs/>
                <w:caps/>
                <w:sz w:val="28"/>
                <w:szCs w:val="28"/>
              </w:rPr>
              <w:t>±</w:t>
            </w:r>
            <w:r w:rsidRPr="00CE1EDD"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A52DC2" w:rsidRPr="00CE1EDD" w:rsidTr="00CD22EB">
        <w:trPr>
          <w:trHeight w:val="480"/>
        </w:trPr>
        <w:tc>
          <w:tcPr>
            <w:tcW w:w="3600" w:type="dxa"/>
            <w:vMerge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Контроль</w:t>
            </w: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  <w:lang w:val="en-US"/>
              </w:rPr>
            </w:pPr>
            <w:r w:rsidRPr="00CE1EDD">
              <w:rPr>
                <w:sz w:val="28"/>
                <w:szCs w:val="28"/>
              </w:rPr>
              <w:t>(</w:t>
            </w:r>
            <w:r w:rsidRPr="00CE1EDD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  <w:lang w:val="en-US"/>
              </w:rPr>
            </w:pPr>
            <w:r w:rsidRPr="00CE1EDD">
              <w:rPr>
                <w:sz w:val="28"/>
                <w:szCs w:val="28"/>
                <w:lang w:val="en-US"/>
              </w:rPr>
              <w:t>1/10</w:t>
            </w: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  <w:lang w:val="en-US"/>
              </w:rPr>
            </w:pPr>
            <w:r w:rsidRPr="00CE1EDD">
              <w:rPr>
                <w:sz w:val="28"/>
                <w:szCs w:val="28"/>
              </w:rPr>
              <w:t>(</w:t>
            </w:r>
            <w:r w:rsidRPr="00CE1EDD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  <w:lang w:val="en-US"/>
              </w:rPr>
            </w:pPr>
            <w:r w:rsidRPr="00CE1EDD">
              <w:rPr>
                <w:sz w:val="28"/>
                <w:szCs w:val="28"/>
                <w:lang w:val="en-US"/>
              </w:rPr>
              <w:t>1/100</w:t>
            </w: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  <w:lang w:val="en-US"/>
              </w:rPr>
            </w:pPr>
            <w:r w:rsidRPr="00CE1EDD">
              <w:rPr>
                <w:sz w:val="28"/>
                <w:szCs w:val="28"/>
              </w:rPr>
              <w:t>(</w:t>
            </w:r>
            <w:r w:rsidRPr="00CE1EDD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  <w:lang w:val="en-US"/>
              </w:rPr>
            </w:pPr>
            <w:r w:rsidRPr="00CE1EDD">
              <w:rPr>
                <w:sz w:val="28"/>
                <w:szCs w:val="28"/>
                <w:lang w:val="en-US"/>
              </w:rPr>
              <w:t>1/1000</w:t>
            </w: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  <w:lang w:val="en-US"/>
              </w:rPr>
            </w:pPr>
            <w:r w:rsidRPr="00CE1EDD">
              <w:rPr>
                <w:sz w:val="28"/>
                <w:szCs w:val="28"/>
              </w:rPr>
              <w:t>(</w:t>
            </w:r>
            <w:r w:rsidRPr="00CE1EDD">
              <w:rPr>
                <w:sz w:val="28"/>
                <w:szCs w:val="28"/>
                <w:lang w:val="en-US"/>
              </w:rPr>
              <w:t>n=10)</w:t>
            </w:r>
          </w:p>
        </w:tc>
      </w:tr>
      <w:tr w:rsidR="00A52DC2" w:rsidRPr="00CE1EDD" w:rsidTr="00CD22EB">
        <w:tc>
          <w:tcPr>
            <w:tcW w:w="3600" w:type="dxa"/>
          </w:tcPr>
          <w:p w:rsidR="00A52DC2" w:rsidRPr="00CE1EDD" w:rsidRDefault="00A52DC2" w:rsidP="00CD22EB">
            <w:pPr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 xml:space="preserve">Дыхание митохондрий после добавления </w:t>
            </w:r>
            <w:proofErr w:type="spellStart"/>
            <w:r w:rsidRPr="00CE1EDD">
              <w:rPr>
                <w:sz w:val="28"/>
                <w:szCs w:val="28"/>
              </w:rPr>
              <w:t>сукцината</w:t>
            </w:r>
            <w:proofErr w:type="spellEnd"/>
            <w:r w:rsidRPr="00CE1EDD">
              <w:rPr>
                <w:sz w:val="28"/>
                <w:szCs w:val="28"/>
              </w:rPr>
              <w:t xml:space="preserve"> (</w:t>
            </w:r>
            <w:r w:rsidRPr="00CE1EDD">
              <w:rPr>
                <w:sz w:val="28"/>
                <w:szCs w:val="28"/>
                <w:lang w:val="en-US"/>
              </w:rPr>
              <w:t>V</w:t>
            </w:r>
            <w:r w:rsidRPr="00CE1EDD">
              <w:rPr>
                <w:sz w:val="28"/>
                <w:szCs w:val="28"/>
              </w:rPr>
              <w:t>4), (</w:t>
            </w:r>
            <w:proofErr w:type="spellStart"/>
            <w:r w:rsidRPr="00CE1EDD">
              <w:rPr>
                <w:sz w:val="28"/>
                <w:szCs w:val="28"/>
              </w:rPr>
              <w:t>нмоль</w:t>
            </w:r>
            <w:proofErr w:type="spellEnd"/>
            <w:r w:rsidRPr="00CE1EDD">
              <w:rPr>
                <w:sz w:val="28"/>
                <w:szCs w:val="28"/>
              </w:rPr>
              <w:t xml:space="preserve"> О</w:t>
            </w:r>
            <w:proofErr w:type="gramStart"/>
            <w:r w:rsidRPr="00CE1ED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CE1EDD">
              <w:rPr>
                <w:sz w:val="28"/>
                <w:szCs w:val="28"/>
              </w:rPr>
              <w:t>/</w:t>
            </w:r>
            <w:proofErr w:type="spellStart"/>
            <w:r w:rsidRPr="00CE1EDD">
              <w:rPr>
                <w:sz w:val="28"/>
                <w:szCs w:val="28"/>
              </w:rPr>
              <w:t>мин•мг</w:t>
            </w:r>
            <w:proofErr w:type="spellEnd"/>
            <w:r w:rsidRPr="00CE1EDD">
              <w:rPr>
                <w:sz w:val="28"/>
                <w:szCs w:val="28"/>
              </w:rPr>
              <w:t xml:space="preserve"> белка), </w:t>
            </w:r>
            <w:proofErr w:type="spellStart"/>
            <w:r w:rsidRPr="00CE1EDD">
              <w:rPr>
                <w:sz w:val="28"/>
                <w:szCs w:val="28"/>
              </w:rPr>
              <w:t>гепатоциты</w:t>
            </w:r>
            <w:proofErr w:type="spellEnd"/>
          </w:p>
        </w:tc>
        <w:tc>
          <w:tcPr>
            <w:tcW w:w="1620" w:type="dxa"/>
          </w:tcPr>
          <w:p w:rsidR="00A52DC2" w:rsidRPr="00CE1EDD" w:rsidRDefault="00A52DC2" w:rsidP="00CD2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1,82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0,16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0,95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0,08*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1,26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0,17*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1,71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0,19</w:t>
            </w:r>
          </w:p>
        </w:tc>
      </w:tr>
      <w:tr w:rsidR="00A52DC2" w:rsidRPr="00CE1EDD" w:rsidTr="00CD22EB">
        <w:tc>
          <w:tcPr>
            <w:tcW w:w="3600" w:type="dxa"/>
          </w:tcPr>
          <w:p w:rsidR="00A52DC2" w:rsidRPr="00CE1EDD" w:rsidRDefault="00A52DC2" w:rsidP="00CD22EB">
            <w:pPr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Дыхание после добавления АДФ (</w:t>
            </w:r>
            <w:r w:rsidRPr="00CE1EDD">
              <w:rPr>
                <w:sz w:val="28"/>
                <w:szCs w:val="28"/>
                <w:lang w:val="en-US"/>
              </w:rPr>
              <w:t>V</w:t>
            </w:r>
            <w:r w:rsidRPr="00CE1EDD">
              <w:rPr>
                <w:sz w:val="28"/>
                <w:szCs w:val="28"/>
              </w:rPr>
              <w:t>3), (</w:t>
            </w:r>
            <w:proofErr w:type="spellStart"/>
            <w:r w:rsidRPr="00CE1EDD">
              <w:rPr>
                <w:sz w:val="28"/>
                <w:szCs w:val="28"/>
              </w:rPr>
              <w:t>нмоль</w:t>
            </w:r>
            <w:proofErr w:type="spellEnd"/>
            <w:r w:rsidRPr="00CE1EDD">
              <w:rPr>
                <w:sz w:val="28"/>
                <w:szCs w:val="28"/>
              </w:rPr>
              <w:t xml:space="preserve"> О</w:t>
            </w:r>
            <w:proofErr w:type="gramStart"/>
            <w:r w:rsidRPr="00CE1ED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CE1EDD">
              <w:rPr>
                <w:sz w:val="28"/>
                <w:szCs w:val="28"/>
              </w:rPr>
              <w:t>/</w:t>
            </w:r>
            <w:proofErr w:type="spellStart"/>
            <w:r w:rsidRPr="00CE1EDD">
              <w:rPr>
                <w:sz w:val="28"/>
                <w:szCs w:val="28"/>
              </w:rPr>
              <w:t>мин•мг</w:t>
            </w:r>
            <w:proofErr w:type="spellEnd"/>
            <w:r w:rsidRPr="00CE1EDD">
              <w:rPr>
                <w:sz w:val="28"/>
                <w:szCs w:val="28"/>
              </w:rPr>
              <w:t xml:space="preserve"> белка), </w:t>
            </w:r>
            <w:proofErr w:type="spellStart"/>
            <w:r w:rsidRPr="00CE1EDD">
              <w:rPr>
                <w:sz w:val="28"/>
                <w:szCs w:val="28"/>
              </w:rPr>
              <w:t>гепатоциты</w:t>
            </w:r>
            <w:proofErr w:type="spellEnd"/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6,3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0,54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2,54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0,32*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3,49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0,28*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6,15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0,66</w:t>
            </w:r>
          </w:p>
        </w:tc>
      </w:tr>
      <w:tr w:rsidR="00A52DC2" w:rsidRPr="00CE1EDD" w:rsidTr="00CD22EB">
        <w:tc>
          <w:tcPr>
            <w:tcW w:w="3600" w:type="dxa"/>
          </w:tcPr>
          <w:p w:rsidR="00A52DC2" w:rsidRPr="00CE1EDD" w:rsidRDefault="00A52DC2" w:rsidP="00CD22EB">
            <w:pPr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 xml:space="preserve">Дыхание после добавления </w:t>
            </w:r>
            <w:proofErr w:type="spellStart"/>
            <w:r w:rsidRPr="00CE1EDD">
              <w:rPr>
                <w:sz w:val="28"/>
                <w:szCs w:val="28"/>
              </w:rPr>
              <w:t>разобщителя</w:t>
            </w:r>
            <w:proofErr w:type="spellEnd"/>
            <w:r w:rsidRPr="00CE1EDD">
              <w:rPr>
                <w:sz w:val="28"/>
                <w:szCs w:val="28"/>
              </w:rPr>
              <w:t xml:space="preserve"> 2,4-ДНФ (</w:t>
            </w:r>
            <w:r w:rsidRPr="00CE1EDD">
              <w:rPr>
                <w:sz w:val="28"/>
                <w:szCs w:val="28"/>
                <w:lang w:val="en-US"/>
              </w:rPr>
              <w:t>V</w:t>
            </w:r>
            <w:r w:rsidRPr="00CE1EDD">
              <w:rPr>
                <w:sz w:val="28"/>
                <w:szCs w:val="28"/>
              </w:rPr>
              <w:t>4'), (</w:t>
            </w:r>
            <w:proofErr w:type="spellStart"/>
            <w:r w:rsidRPr="00CE1EDD">
              <w:rPr>
                <w:sz w:val="28"/>
                <w:szCs w:val="28"/>
              </w:rPr>
              <w:t>нмоль</w:t>
            </w:r>
            <w:proofErr w:type="spellEnd"/>
            <w:r w:rsidRPr="00CE1EDD">
              <w:rPr>
                <w:sz w:val="28"/>
                <w:szCs w:val="28"/>
              </w:rPr>
              <w:t xml:space="preserve"> О</w:t>
            </w:r>
            <w:proofErr w:type="gramStart"/>
            <w:r w:rsidRPr="00CE1ED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CE1EDD">
              <w:rPr>
                <w:sz w:val="28"/>
                <w:szCs w:val="28"/>
              </w:rPr>
              <w:t>/</w:t>
            </w:r>
            <w:proofErr w:type="spellStart"/>
            <w:r w:rsidRPr="00CE1EDD">
              <w:rPr>
                <w:sz w:val="28"/>
                <w:szCs w:val="28"/>
              </w:rPr>
              <w:t>мин•мг</w:t>
            </w:r>
            <w:proofErr w:type="spellEnd"/>
            <w:r w:rsidRPr="00CE1EDD">
              <w:rPr>
                <w:sz w:val="28"/>
                <w:szCs w:val="28"/>
              </w:rPr>
              <w:t xml:space="preserve"> </w:t>
            </w:r>
            <w:r w:rsidRPr="00CE1EDD">
              <w:rPr>
                <w:sz w:val="28"/>
                <w:szCs w:val="28"/>
              </w:rPr>
              <w:lastRenderedPageBreak/>
              <w:t>белка)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7,46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0,63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3,40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0,34*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4,35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0,48*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</w:p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7,24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0,58</w:t>
            </w:r>
          </w:p>
        </w:tc>
      </w:tr>
      <w:tr w:rsidR="00A52DC2" w:rsidRPr="00CE1EDD" w:rsidTr="00CD22EB">
        <w:tc>
          <w:tcPr>
            <w:tcW w:w="3600" w:type="dxa"/>
          </w:tcPr>
          <w:p w:rsidR="00A52DC2" w:rsidRPr="00CE1EDD" w:rsidRDefault="00A52DC2" w:rsidP="00CD22EB">
            <w:pPr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lastRenderedPageBreak/>
              <w:t xml:space="preserve">Дыхательный коэффициент </w:t>
            </w:r>
            <w:proofErr w:type="spellStart"/>
            <w:r w:rsidRPr="00CE1EDD">
              <w:rPr>
                <w:sz w:val="28"/>
                <w:szCs w:val="28"/>
              </w:rPr>
              <w:t>Ларди</w:t>
            </w:r>
            <w:proofErr w:type="spellEnd"/>
            <w:r w:rsidRPr="00CE1EDD">
              <w:rPr>
                <w:sz w:val="28"/>
                <w:szCs w:val="28"/>
              </w:rPr>
              <w:t xml:space="preserve"> (ДК=</w:t>
            </w:r>
            <w:r w:rsidRPr="00CE1EDD">
              <w:rPr>
                <w:sz w:val="28"/>
                <w:szCs w:val="28"/>
                <w:lang w:val="en-US"/>
              </w:rPr>
              <w:t>V</w:t>
            </w:r>
            <w:r w:rsidRPr="00CE1EDD">
              <w:rPr>
                <w:sz w:val="28"/>
                <w:szCs w:val="28"/>
              </w:rPr>
              <w:t>3/</w:t>
            </w:r>
            <w:r w:rsidRPr="00CE1EDD">
              <w:rPr>
                <w:sz w:val="28"/>
                <w:szCs w:val="28"/>
                <w:lang w:val="en-US"/>
              </w:rPr>
              <w:t>V</w:t>
            </w:r>
            <w:r w:rsidRPr="00CE1EDD">
              <w:rPr>
                <w:sz w:val="28"/>
                <w:szCs w:val="28"/>
              </w:rPr>
              <w:t xml:space="preserve">4, </w:t>
            </w:r>
            <w:proofErr w:type="spellStart"/>
            <w:r w:rsidRPr="00CE1EDD">
              <w:rPr>
                <w:sz w:val="28"/>
                <w:szCs w:val="28"/>
              </w:rPr>
              <w:t>отн</w:t>
            </w:r>
            <w:proofErr w:type="gramStart"/>
            <w:r w:rsidRPr="00CE1EDD">
              <w:rPr>
                <w:sz w:val="28"/>
                <w:szCs w:val="28"/>
              </w:rPr>
              <w:t>.е</w:t>
            </w:r>
            <w:proofErr w:type="gramEnd"/>
            <w:r w:rsidRPr="00CE1EDD">
              <w:rPr>
                <w:sz w:val="28"/>
                <w:szCs w:val="28"/>
              </w:rPr>
              <w:t>д</w:t>
            </w:r>
            <w:proofErr w:type="spellEnd"/>
            <w:r w:rsidRPr="00CE1EDD">
              <w:rPr>
                <w:sz w:val="28"/>
                <w:szCs w:val="28"/>
              </w:rPr>
              <w:t xml:space="preserve">), </w:t>
            </w:r>
            <w:proofErr w:type="spellStart"/>
            <w:r w:rsidRPr="00CE1EDD">
              <w:rPr>
                <w:sz w:val="28"/>
                <w:szCs w:val="28"/>
              </w:rPr>
              <w:t>гепатоциты</w:t>
            </w:r>
            <w:proofErr w:type="spellEnd"/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3,46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0,35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2,67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0,20*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2,77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0,22*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3,59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0,41</w:t>
            </w:r>
          </w:p>
        </w:tc>
      </w:tr>
      <w:tr w:rsidR="00A52DC2" w:rsidRPr="00CE1EDD" w:rsidTr="00CD22EB">
        <w:tc>
          <w:tcPr>
            <w:tcW w:w="3600" w:type="dxa"/>
          </w:tcPr>
          <w:p w:rsidR="00A52DC2" w:rsidRPr="00CE1EDD" w:rsidRDefault="00A52DC2" w:rsidP="00CD22EB">
            <w:pPr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 xml:space="preserve">Коэффициент </w:t>
            </w:r>
            <w:proofErr w:type="spellStart"/>
            <w:r w:rsidRPr="00CE1EDD">
              <w:rPr>
                <w:sz w:val="28"/>
                <w:szCs w:val="28"/>
              </w:rPr>
              <w:t>фосфорилирования</w:t>
            </w:r>
            <w:proofErr w:type="spellEnd"/>
            <w:r w:rsidRPr="00CE1EDD">
              <w:rPr>
                <w:sz w:val="28"/>
                <w:szCs w:val="28"/>
              </w:rPr>
              <w:t xml:space="preserve"> (АДФ/О</w:t>
            </w:r>
            <w:proofErr w:type="gramStart"/>
            <w:r w:rsidRPr="00CE1EDD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CE1EDD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2,64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0,27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1,20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0,09*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1,75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0,14*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2,58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0,32</w:t>
            </w:r>
          </w:p>
        </w:tc>
      </w:tr>
      <w:tr w:rsidR="00A52DC2" w:rsidRPr="00CE1EDD" w:rsidTr="00CD22EB">
        <w:tc>
          <w:tcPr>
            <w:tcW w:w="3600" w:type="dxa"/>
          </w:tcPr>
          <w:p w:rsidR="00A52DC2" w:rsidRPr="00CE1EDD" w:rsidRDefault="00A52DC2" w:rsidP="00CD22EB">
            <w:pPr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  <w:lang w:val="en-US"/>
              </w:rPr>
              <w:t>Mg</w:t>
            </w:r>
            <w:r w:rsidRPr="00CE1EDD">
              <w:rPr>
                <w:sz w:val="28"/>
                <w:szCs w:val="28"/>
                <w:vertAlign w:val="superscript"/>
              </w:rPr>
              <w:t>2+</w:t>
            </w:r>
            <w:r w:rsidRPr="00CE1EDD">
              <w:rPr>
                <w:sz w:val="28"/>
                <w:szCs w:val="28"/>
              </w:rPr>
              <w:t>- АТФ-аза (</w:t>
            </w:r>
            <w:proofErr w:type="spellStart"/>
            <w:r w:rsidRPr="00CE1EDD">
              <w:rPr>
                <w:sz w:val="28"/>
                <w:szCs w:val="28"/>
              </w:rPr>
              <w:t>мкмоль</w:t>
            </w:r>
            <w:proofErr w:type="spellEnd"/>
            <w:r w:rsidRPr="00CE1EDD">
              <w:rPr>
                <w:sz w:val="28"/>
                <w:szCs w:val="28"/>
              </w:rPr>
              <w:t xml:space="preserve"> Р/мг белка•1 час), митохондрии </w:t>
            </w:r>
            <w:proofErr w:type="spellStart"/>
            <w:r w:rsidRPr="00CE1EDD">
              <w:rPr>
                <w:sz w:val="28"/>
                <w:szCs w:val="28"/>
              </w:rPr>
              <w:t>гепатоцитов</w:t>
            </w:r>
            <w:proofErr w:type="spellEnd"/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81,46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4,70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45,3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3,44*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56,23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4,52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ind w:right="-108"/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79,6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4,82</w:t>
            </w:r>
          </w:p>
        </w:tc>
      </w:tr>
      <w:tr w:rsidR="00A52DC2" w:rsidRPr="00CE1EDD" w:rsidTr="00CD22EB">
        <w:tc>
          <w:tcPr>
            <w:tcW w:w="3600" w:type="dxa"/>
          </w:tcPr>
          <w:p w:rsidR="00A52DC2" w:rsidRPr="00CE1EDD" w:rsidRDefault="00A52DC2" w:rsidP="00CD22EB">
            <w:pPr>
              <w:rPr>
                <w:sz w:val="28"/>
                <w:szCs w:val="28"/>
              </w:rPr>
            </w:pPr>
            <w:proofErr w:type="spellStart"/>
            <w:r w:rsidRPr="00CE1EDD">
              <w:rPr>
                <w:sz w:val="28"/>
                <w:szCs w:val="28"/>
                <w:lang w:val="en-US"/>
              </w:rPr>
              <w:t>Ca</w:t>
            </w:r>
            <w:proofErr w:type="spellEnd"/>
            <w:r w:rsidRPr="00CE1EDD">
              <w:rPr>
                <w:sz w:val="28"/>
                <w:szCs w:val="28"/>
                <w:vertAlign w:val="superscript"/>
              </w:rPr>
              <w:t>2+</w:t>
            </w:r>
            <w:r w:rsidRPr="00CE1EDD">
              <w:rPr>
                <w:sz w:val="28"/>
                <w:szCs w:val="28"/>
              </w:rPr>
              <w:t>- АТФ-аза (</w:t>
            </w:r>
            <w:proofErr w:type="spellStart"/>
            <w:r w:rsidRPr="00CE1EDD">
              <w:rPr>
                <w:sz w:val="28"/>
                <w:szCs w:val="28"/>
              </w:rPr>
              <w:t>мкмоль</w:t>
            </w:r>
            <w:proofErr w:type="spellEnd"/>
            <w:r w:rsidRPr="00CE1EDD">
              <w:rPr>
                <w:sz w:val="28"/>
                <w:szCs w:val="28"/>
              </w:rPr>
              <w:t xml:space="preserve"> Р/мг белка•1 час), митохондрии </w:t>
            </w:r>
            <w:proofErr w:type="spellStart"/>
            <w:r w:rsidRPr="00CE1EDD">
              <w:rPr>
                <w:sz w:val="28"/>
                <w:szCs w:val="28"/>
              </w:rPr>
              <w:t>гепатоцитов</w:t>
            </w:r>
            <w:proofErr w:type="spellEnd"/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73,52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5,10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38,93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3,56*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48,6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3,74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71,96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5,43</w:t>
            </w:r>
          </w:p>
        </w:tc>
      </w:tr>
      <w:tr w:rsidR="00A52DC2" w:rsidRPr="00CE1EDD" w:rsidTr="00CD22EB">
        <w:tc>
          <w:tcPr>
            <w:tcW w:w="3600" w:type="dxa"/>
          </w:tcPr>
          <w:p w:rsidR="00A52DC2" w:rsidRPr="00CE1EDD" w:rsidRDefault="00A52DC2" w:rsidP="00CD22EB">
            <w:pPr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Н</w:t>
            </w:r>
            <w:r w:rsidRPr="00CE1EDD">
              <w:rPr>
                <w:sz w:val="28"/>
                <w:szCs w:val="28"/>
                <w:vertAlign w:val="superscript"/>
              </w:rPr>
              <w:t>+</w:t>
            </w:r>
            <w:r w:rsidRPr="00CE1EDD">
              <w:rPr>
                <w:sz w:val="28"/>
                <w:szCs w:val="28"/>
              </w:rPr>
              <w:t>- АТФ-аза (</w:t>
            </w:r>
            <w:proofErr w:type="spellStart"/>
            <w:r w:rsidRPr="00CE1EDD">
              <w:rPr>
                <w:sz w:val="28"/>
                <w:szCs w:val="28"/>
              </w:rPr>
              <w:t>мкмоль</w:t>
            </w:r>
            <w:proofErr w:type="spellEnd"/>
            <w:r w:rsidRPr="00CE1EDD">
              <w:rPr>
                <w:sz w:val="28"/>
                <w:szCs w:val="28"/>
              </w:rPr>
              <w:t xml:space="preserve"> </w:t>
            </w:r>
            <w:proofErr w:type="gramStart"/>
            <w:r w:rsidRPr="00CE1EDD">
              <w:rPr>
                <w:sz w:val="28"/>
                <w:szCs w:val="28"/>
              </w:rPr>
              <w:t>Р</w:t>
            </w:r>
            <w:proofErr w:type="gramEnd"/>
            <w:r w:rsidRPr="00CE1EDD">
              <w:rPr>
                <w:sz w:val="28"/>
                <w:szCs w:val="28"/>
              </w:rPr>
              <w:t xml:space="preserve">/мг белка•1 час), митохондрии </w:t>
            </w:r>
            <w:proofErr w:type="spellStart"/>
            <w:r w:rsidRPr="00CE1EDD">
              <w:rPr>
                <w:sz w:val="28"/>
                <w:szCs w:val="28"/>
              </w:rPr>
              <w:t>гепатоцитов</w:t>
            </w:r>
            <w:proofErr w:type="spellEnd"/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74,60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4,35</w:t>
            </w:r>
          </w:p>
        </w:tc>
        <w:tc>
          <w:tcPr>
            <w:tcW w:w="162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44,7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3,68*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62,3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5,82*</w:t>
            </w:r>
          </w:p>
        </w:tc>
        <w:tc>
          <w:tcPr>
            <w:tcW w:w="1440" w:type="dxa"/>
          </w:tcPr>
          <w:p w:rsidR="00A52DC2" w:rsidRPr="00CE1EDD" w:rsidRDefault="00A52DC2" w:rsidP="00CD22EB">
            <w:pPr>
              <w:jc w:val="center"/>
              <w:rPr>
                <w:sz w:val="28"/>
                <w:szCs w:val="28"/>
              </w:rPr>
            </w:pPr>
            <w:r w:rsidRPr="00CE1EDD">
              <w:rPr>
                <w:sz w:val="28"/>
                <w:szCs w:val="28"/>
              </w:rPr>
              <w:t>72,36</w:t>
            </w:r>
            <w:r w:rsidRPr="00CE1EDD">
              <w:rPr>
                <w:sz w:val="28"/>
                <w:szCs w:val="28"/>
                <w:lang w:val="en-US"/>
              </w:rPr>
              <w:t>±</w:t>
            </w:r>
            <w:r w:rsidRPr="00CE1EDD">
              <w:rPr>
                <w:sz w:val="28"/>
                <w:szCs w:val="28"/>
              </w:rPr>
              <w:t>6,40</w:t>
            </w:r>
          </w:p>
        </w:tc>
      </w:tr>
    </w:tbl>
    <w:p w:rsidR="00A52DC2" w:rsidRPr="00CE1EDD" w:rsidRDefault="00A52DC2" w:rsidP="00A52DC2">
      <w:pPr>
        <w:pStyle w:val="a4"/>
        <w:spacing w:line="240" w:lineRule="auto"/>
        <w:ind w:left="0" w:right="-5" w:firstLine="0"/>
        <w:rPr>
          <w:sz w:val="28"/>
          <w:szCs w:val="28"/>
        </w:rPr>
      </w:pPr>
    </w:p>
    <w:p w:rsidR="00A52DC2" w:rsidRPr="00CE1EDD" w:rsidRDefault="00A52DC2" w:rsidP="00A52DC2">
      <w:pPr>
        <w:pStyle w:val="a4"/>
        <w:spacing w:line="240" w:lineRule="auto"/>
        <w:ind w:left="0" w:right="-5" w:firstLine="0"/>
        <w:rPr>
          <w:bCs/>
          <w:sz w:val="28"/>
          <w:szCs w:val="28"/>
        </w:rPr>
      </w:pPr>
      <w:r w:rsidRPr="00CE1EDD">
        <w:rPr>
          <w:sz w:val="28"/>
          <w:szCs w:val="28"/>
        </w:rPr>
        <w:t xml:space="preserve">Примечание: </w:t>
      </w:r>
      <w:r w:rsidRPr="00CE1EDD">
        <w:rPr>
          <w:color w:val="000000"/>
          <w:sz w:val="28"/>
          <w:szCs w:val="28"/>
        </w:rPr>
        <w:t xml:space="preserve">* различия достоверные  </w:t>
      </w:r>
      <w:proofErr w:type="gramStart"/>
      <w:r w:rsidRPr="00CE1EDD">
        <w:rPr>
          <w:color w:val="000000"/>
          <w:sz w:val="28"/>
          <w:szCs w:val="28"/>
        </w:rPr>
        <w:t>р</w:t>
      </w:r>
      <w:proofErr w:type="gramEnd"/>
      <w:r w:rsidRPr="00CE1EDD">
        <w:rPr>
          <w:color w:val="000000"/>
          <w:sz w:val="28"/>
          <w:szCs w:val="28"/>
        </w:rPr>
        <w:t xml:space="preserve"> ≤ 0,05 </w:t>
      </w:r>
    </w:p>
    <w:p w:rsidR="00A52DC2" w:rsidRPr="00CE1EDD" w:rsidRDefault="00A52DC2" w:rsidP="00A52DC2">
      <w:pPr>
        <w:jc w:val="both"/>
        <w:rPr>
          <w:sz w:val="28"/>
          <w:szCs w:val="28"/>
        </w:rPr>
      </w:pPr>
    </w:p>
    <w:p w:rsidR="00A52DC2" w:rsidRPr="00CE1EDD" w:rsidRDefault="00A52DC2" w:rsidP="00A52DC2">
      <w:pPr>
        <w:jc w:val="both"/>
        <w:rPr>
          <w:sz w:val="28"/>
          <w:szCs w:val="28"/>
        </w:rPr>
      </w:pPr>
      <w:r w:rsidRPr="00CE1EDD">
        <w:rPr>
          <w:sz w:val="28"/>
          <w:szCs w:val="28"/>
        </w:rPr>
        <w:tab/>
        <w:t xml:space="preserve">Приведенные выше данные о нарушении функционального состояния митохондрий коррелируют с результатами исследования активности </w:t>
      </w:r>
      <w:proofErr w:type="spellStart"/>
      <w:r w:rsidRPr="00CE1EDD">
        <w:rPr>
          <w:sz w:val="28"/>
          <w:szCs w:val="28"/>
          <w:lang w:val="en-US"/>
        </w:rPr>
        <w:t>Ca</w:t>
      </w:r>
      <w:proofErr w:type="spellEnd"/>
      <w:r w:rsidRPr="00CE1EDD">
        <w:rPr>
          <w:sz w:val="28"/>
          <w:szCs w:val="28"/>
          <w:vertAlign w:val="superscript"/>
        </w:rPr>
        <w:t>2+</w:t>
      </w:r>
      <w:r w:rsidRPr="00CE1EDD">
        <w:rPr>
          <w:sz w:val="28"/>
          <w:szCs w:val="28"/>
        </w:rPr>
        <w:t xml:space="preserve">-, </w:t>
      </w:r>
      <w:r w:rsidRPr="00CE1EDD">
        <w:rPr>
          <w:sz w:val="28"/>
          <w:szCs w:val="28"/>
          <w:lang w:val="en-US"/>
        </w:rPr>
        <w:t>Mg</w:t>
      </w:r>
      <w:r w:rsidRPr="00CE1EDD">
        <w:rPr>
          <w:sz w:val="28"/>
          <w:szCs w:val="28"/>
          <w:vertAlign w:val="superscript"/>
        </w:rPr>
        <w:t>2+</w:t>
      </w:r>
      <w:r w:rsidRPr="00CE1EDD">
        <w:rPr>
          <w:sz w:val="28"/>
          <w:szCs w:val="28"/>
        </w:rPr>
        <w:t>-зависимых АТФ-аз и  Н</w:t>
      </w:r>
      <w:proofErr w:type="gramStart"/>
      <w:r w:rsidRPr="00CE1EDD">
        <w:rPr>
          <w:sz w:val="28"/>
          <w:szCs w:val="28"/>
          <w:vertAlign w:val="superscript"/>
        </w:rPr>
        <w:t>+</w:t>
      </w:r>
      <w:r w:rsidRPr="00CE1EDD">
        <w:rPr>
          <w:sz w:val="28"/>
          <w:szCs w:val="28"/>
        </w:rPr>
        <w:t>-</w:t>
      </w:r>
      <w:proofErr w:type="gramEnd"/>
      <w:r w:rsidRPr="00CE1EDD">
        <w:rPr>
          <w:sz w:val="28"/>
          <w:szCs w:val="28"/>
        </w:rPr>
        <w:t>АТФ-азы. Из таблицы видно, что ингибирование Н</w:t>
      </w:r>
      <w:proofErr w:type="gramStart"/>
      <w:r w:rsidRPr="00CE1EDD">
        <w:rPr>
          <w:sz w:val="28"/>
          <w:szCs w:val="28"/>
          <w:vertAlign w:val="superscript"/>
        </w:rPr>
        <w:t>+</w:t>
      </w:r>
      <w:r w:rsidRPr="00CE1EDD">
        <w:rPr>
          <w:sz w:val="28"/>
          <w:szCs w:val="28"/>
        </w:rPr>
        <w:t>-</w:t>
      </w:r>
      <w:proofErr w:type="gramEnd"/>
      <w:r w:rsidRPr="00CE1EDD">
        <w:rPr>
          <w:sz w:val="28"/>
          <w:szCs w:val="28"/>
        </w:rPr>
        <w:t xml:space="preserve">АТФ-азы митохондрий, также как и ингибирование дыхания,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 и скорости АТФ-</w:t>
      </w:r>
      <w:proofErr w:type="spellStart"/>
      <w:r w:rsidRPr="00CE1EDD">
        <w:rPr>
          <w:sz w:val="28"/>
          <w:szCs w:val="28"/>
        </w:rPr>
        <w:t>гидролазных</w:t>
      </w:r>
      <w:proofErr w:type="spellEnd"/>
      <w:r w:rsidRPr="00CE1EDD">
        <w:rPr>
          <w:sz w:val="28"/>
          <w:szCs w:val="28"/>
        </w:rPr>
        <w:t xml:space="preserve"> реакций, зависит от дозы токсического влияния </w:t>
      </w:r>
      <w:proofErr w:type="spellStart"/>
      <w:r w:rsidRPr="00CE1EDD">
        <w:rPr>
          <w:sz w:val="28"/>
          <w:szCs w:val="28"/>
        </w:rPr>
        <w:t>лапроксидов</w:t>
      </w:r>
      <w:proofErr w:type="spellEnd"/>
      <w:r w:rsidRPr="00CE1EDD">
        <w:rPr>
          <w:sz w:val="28"/>
          <w:szCs w:val="28"/>
        </w:rPr>
        <w:t xml:space="preserve"> на </w:t>
      </w:r>
      <w:proofErr w:type="spellStart"/>
      <w:r w:rsidRPr="00CE1EDD">
        <w:rPr>
          <w:sz w:val="28"/>
          <w:szCs w:val="28"/>
        </w:rPr>
        <w:t>гепатоциты</w:t>
      </w:r>
      <w:proofErr w:type="spellEnd"/>
      <w:r w:rsidRPr="00CE1EDD">
        <w:rPr>
          <w:sz w:val="28"/>
          <w:szCs w:val="28"/>
        </w:rPr>
        <w:t>. Снижение активности Н</w:t>
      </w:r>
      <w:proofErr w:type="gramStart"/>
      <w:r w:rsidRPr="00CE1EDD">
        <w:rPr>
          <w:sz w:val="28"/>
          <w:szCs w:val="28"/>
          <w:vertAlign w:val="superscript"/>
        </w:rPr>
        <w:t>+</w:t>
      </w:r>
      <w:r w:rsidRPr="00CE1EDD">
        <w:rPr>
          <w:sz w:val="28"/>
          <w:szCs w:val="28"/>
        </w:rPr>
        <w:t>-</w:t>
      </w:r>
      <w:proofErr w:type="gramEnd"/>
      <w:r w:rsidRPr="00CE1EDD">
        <w:rPr>
          <w:sz w:val="28"/>
          <w:szCs w:val="28"/>
        </w:rPr>
        <w:t xml:space="preserve">АТФ-азы, наблюдаемое при </w:t>
      </w:r>
      <w:proofErr w:type="spellStart"/>
      <w:r w:rsidRPr="00CE1EDD">
        <w:rPr>
          <w:sz w:val="28"/>
          <w:szCs w:val="28"/>
        </w:rPr>
        <w:t>токсификации</w:t>
      </w:r>
      <w:proofErr w:type="spellEnd"/>
      <w:r w:rsidRPr="00CE1EDD">
        <w:rPr>
          <w:sz w:val="28"/>
          <w:szCs w:val="28"/>
        </w:rPr>
        <w:t xml:space="preserve"> животных </w:t>
      </w:r>
      <w:proofErr w:type="spellStart"/>
      <w:r w:rsidRPr="00CE1EDD">
        <w:rPr>
          <w:sz w:val="28"/>
          <w:szCs w:val="28"/>
        </w:rPr>
        <w:t>Лапроксидом</w:t>
      </w:r>
      <w:proofErr w:type="spellEnd"/>
      <w:r w:rsidRPr="00CE1EDD">
        <w:rPr>
          <w:sz w:val="28"/>
          <w:szCs w:val="28"/>
        </w:rPr>
        <w:t xml:space="preserve">, подтверждает данные о разобщении окисления и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 и, следовательно, ингибировании </w:t>
      </w:r>
      <w:proofErr w:type="spellStart"/>
      <w:r w:rsidRPr="00CE1EDD">
        <w:rPr>
          <w:sz w:val="28"/>
          <w:szCs w:val="28"/>
        </w:rPr>
        <w:t>энергопродукции</w:t>
      </w:r>
      <w:proofErr w:type="spellEnd"/>
      <w:r w:rsidRPr="00CE1EDD">
        <w:rPr>
          <w:sz w:val="28"/>
          <w:szCs w:val="28"/>
        </w:rPr>
        <w:t xml:space="preserve"> в этих условиях. Одной из причин разобщения окисления и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 в митохондриях пораженных </w:t>
      </w:r>
      <w:proofErr w:type="spellStart"/>
      <w:r w:rsidRPr="00CE1EDD">
        <w:rPr>
          <w:sz w:val="28"/>
          <w:szCs w:val="28"/>
        </w:rPr>
        <w:t>гепатоцитов</w:t>
      </w:r>
      <w:proofErr w:type="spellEnd"/>
      <w:r w:rsidRPr="00CE1EDD">
        <w:rPr>
          <w:sz w:val="28"/>
          <w:szCs w:val="28"/>
        </w:rPr>
        <w:t xml:space="preserve"> может быть усиление накопления в них ионов кальция. Некоторыми авторами было показано, что в условиях гипоксии скорость накопления кальция митохондриями </w:t>
      </w:r>
      <w:proofErr w:type="gramStart"/>
      <w:r w:rsidRPr="00CE1EDD">
        <w:rPr>
          <w:sz w:val="28"/>
          <w:szCs w:val="28"/>
        </w:rPr>
        <w:t>увеличивается</w:t>
      </w:r>
      <w:proofErr w:type="gramEnd"/>
      <w:r w:rsidRPr="00CE1EDD">
        <w:rPr>
          <w:sz w:val="28"/>
          <w:szCs w:val="28"/>
        </w:rPr>
        <w:t xml:space="preserve"> а высвобождение их происходит значительно медленнее, чем в условиях аэробиоза. При ишемии наблюдается снижение скорости </w:t>
      </w:r>
      <w:proofErr w:type="spellStart"/>
      <w:r w:rsidRPr="00CE1EDD">
        <w:rPr>
          <w:sz w:val="28"/>
          <w:szCs w:val="28"/>
          <w:lang w:val="en-US"/>
        </w:rPr>
        <w:t>Ca</w:t>
      </w:r>
      <w:proofErr w:type="spellEnd"/>
      <w:r w:rsidRPr="00CE1EDD">
        <w:rPr>
          <w:sz w:val="28"/>
          <w:szCs w:val="28"/>
          <w:vertAlign w:val="superscript"/>
        </w:rPr>
        <w:t>2+</w:t>
      </w:r>
      <w:r w:rsidRPr="00CE1EDD">
        <w:rPr>
          <w:sz w:val="28"/>
          <w:szCs w:val="28"/>
        </w:rPr>
        <w:t>-зависимого выделения Н</w:t>
      </w:r>
      <w:r w:rsidRPr="00CE1EDD">
        <w:rPr>
          <w:sz w:val="28"/>
          <w:szCs w:val="28"/>
          <w:vertAlign w:val="superscript"/>
        </w:rPr>
        <w:t xml:space="preserve">+ </w:t>
      </w:r>
      <w:r w:rsidRPr="00CE1EDD">
        <w:rPr>
          <w:sz w:val="28"/>
          <w:szCs w:val="28"/>
        </w:rPr>
        <w:t xml:space="preserve">и окислительного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. Исследование накопления </w:t>
      </w:r>
      <w:proofErr w:type="spellStart"/>
      <w:r w:rsidRPr="00CE1EDD">
        <w:rPr>
          <w:sz w:val="28"/>
          <w:szCs w:val="28"/>
          <w:lang w:val="en-US"/>
        </w:rPr>
        <w:t>Ca</w:t>
      </w:r>
      <w:proofErr w:type="spellEnd"/>
      <w:r w:rsidRPr="00CE1EDD">
        <w:rPr>
          <w:sz w:val="28"/>
          <w:szCs w:val="28"/>
          <w:vertAlign w:val="superscript"/>
        </w:rPr>
        <w:t>2+</w:t>
      </w:r>
      <w:r w:rsidRPr="00CE1EDD">
        <w:rPr>
          <w:sz w:val="28"/>
          <w:szCs w:val="28"/>
        </w:rPr>
        <w:t xml:space="preserve"> митохондриями и скорости синтеза АТФ в этих структурах показало, что синтез АТФ тормозится эндогенными ионами кальция [8]. </w:t>
      </w:r>
    </w:p>
    <w:p w:rsidR="00A52DC2" w:rsidRPr="00CE1EDD" w:rsidRDefault="00A52DC2" w:rsidP="00A52DC2">
      <w:pPr>
        <w:ind w:right="-82"/>
        <w:jc w:val="both"/>
        <w:rPr>
          <w:sz w:val="28"/>
          <w:szCs w:val="28"/>
        </w:rPr>
      </w:pPr>
      <w:r w:rsidRPr="00CE1EDD">
        <w:rPr>
          <w:sz w:val="28"/>
          <w:szCs w:val="28"/>
        </w:rPr>
        <w:tab/>
        <w:t xml:space="preserve">Следует полагать, что </w:t>
      </w:r>
      <w:proofErr w:type="spellStart"/>
      <w:r w:rsidRPr="00CE1EDD">
        <w:rPr>
          <w:sz w:val="28"/>
          <w:szCs w:val="28"/>
        </w:rPr>
        <w:t>лапроксиды</w:t>
      </w:r>
      <w:proofErr w:type="spellEnd"/>
      <w:r w:rsidRPr="00CE1EDD">
        <w:rPr>
          <w:sz w:val="28"/>
          <w:szCs w:val="28"/>
        </w:rPr>
        <w:t xml:space="preserve"> оказывая ингибирующее влияние на активность </w:t>
      </w:r>
      <w:proofErr w:type="spellStart"/>
      <w:r w:rsidRPr="00CE1EDD">
        <w:rPr>
          <w:sz w:val="28"/>
          <w:szCs w:val="28"/>
          <w:lang w:val="en-US"/>
        </w:rPr>
        <w:t>Ca</w:t>
      </w:r>
      <w:proofErr w:type="spellEnd"/>
      <w:r w:rsidRPr="00CE1EDD">
        <w:rPr>
          <w:sz w:val="28"/>
          <w:szCs w:val="28"/>
          <w:vertAlign w:val="superscript"/>
        </w:rPr>
        <w:t>2+</w:t>
      </w:r>
      <w:r w:rsidRPr="00CE1EDD">
        <w:rPr>
          <w:sz w:val="28"/>
          <w:szCs w:val="28"/>
        </w:rPr>
        <w:t xml:space="preserve">-, </w:t>
      </w:r>
      <w:r w:rsidRPr="00CE1EDD">
        <w:rPr>
          <w:sz w:val="28"/>
          <w:szCs w:val="28"/>
          <w:lang w:val="en-US"/>
        </w:rPr>
        <w:t>Mg</w:t>
      </w:r>
      <w:r w:rsidRPr="00CE1EDD">
        <w:rPr>
          <w:sz w:val="28"/>
          <w:szCs w:val="28"/>
          <w:vertAlign w:val="superscript"/>
        </w:rPr>
        <w:t>2+</w:t>
      </w:r>
      <w:r w:rsidRPr="00CE1EDD">
        <w:rPr>
          <w:sz w:val="28"/>
          <w:szCs w:val="28"/>
        </w:rPr>
        <w:t xml:space="preserve">-зависимой АТФ-азы обеспечивают накопление </w:t>
      </w:r>
      <w:proofErr w:type="spellStart"/>
      <w:r w:rsidRPr="00CE1EDD">
        <w:rPr>
          <w:sz w:val="28"/>
          <w:szCs w:val="28"/>
          <w:lang w:val="en-US"/>
        </w:rPr>
        <w:t>Ca</w:t>
      </w:r>
      <w:proofErr w:type="spellEnd"/>
      <w:r w:rsidRPr="00CE1EDD">
        <w:rPr>
          <w:sz w:val="28"/>
          <w:szCs w:val="28"/>
          <w:vertAlign w:val="superscript"/>
        </w:rPr>
        <w:t xml:space="preserve">2+ </w:t>
      </w:r>
      <w:r w:rsidRPr="00CE1EDD">
        <w:rPr>
          <w:sz w:val="28"/>
          <w:szCs w:val="28"/>
        </w:rPr>
        <w:t xml:space="preserve"> в митохондриях и снижают их </w:t>
      </w:r>
      <w:proofErr w:type="spellStart"/>
      <w:r w:rsidRPr="00CE1EDD">
        <w:rPr>
          <w:sz w:val="28"/>
          <w:szCs w:val="28"/>
        </w:rPr>
        <w:t>фосфорилирующую</w:t>
      </w:r>
      <w:proofErr w:type="spellEnd"/>
      <w:r w:rsidRPr="00CE1EDD">
        <w:rPr>
          <w:sz w:val="28"/>
          <w:szCs w:val="28"/>
        </w:rPr>
        <w:t xml:space="preserve"> способность, которая сопряжена с разобщением дыхания и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 xml:space="preserve">. Увеличение скорости накопления кальция в митохондриях может быть сопряжено с повреждающим действием на их мембраны продуктов перекисного окисления липидов, образование которых существенно увеличивается под влиянием исследуемых </w:t>
      </w:r>
      <w:proofErr w:type="spellStart"/>
      <w:r w:rsidRPr="00CE1EDD">
        <w:rPr>
          <w:sz w:val="28"/>
          <w:szCs w:val="28"/>
        </w:rPr>
        <w:t>ксенобиотиков</w:t>
      </w:r>
      <w:proofErr w:type="spellEnd"/>
      <w:r w:rsidRPr="00CE1EDD">
        <w:rPr>
          <w:sz w:val="28"/>
          <w:szCs w:val="28"/>
        </w:rPr>
        <w:t xml:space="preserve"> [1,2,3,4,5]. Известно, что накопление кальция митохондриями является энергозависимым активным процессом, протекающим против </w:t>
      </w:r>
      <w:r w:rsidRPr="00CE1EDD">
        <w:rPr>
          <w:sz w:val="28"/>
          <w:szCs w:val="28"/>
        </w:rPr>
        <w:lastRenderedPageBreak/>
        <w:t>градиента концентрац</w:t>
      </w:r>
      <w:proofErr w:type="gramStart"/>
      <w:r w:rsidRPr="00CE1EDD">
        <w:rPr>
          <w:sz w:val="28"/>
          <w:szCs w:val="28"/>
        </w:rPr>
        <w:t>ии ио</w:t>
      </w:r>
      <w:proofErr w:type="gramEnd"/>
      <w:r w:rsidRPr="00CE1EDD">
        <w:rPr>
          <w:sz w:val="28"/>
          <w:szCs w:val="28"/>
        </w:rPr>
        <w:t xml:space="preserve">нов. Поскольку накопление кальция митохондриями идет за счет энергии транспорта электронов в дыхательной цепи, то в этом случае, возможно, вся энергия дыхания будет тратиться главным образом на транспорт кальция, а не на </w:t>
      </w:r>
      <w:proofErr w:type="spellStart"/>
      <w:r w:rsidRPr="00CE1EDD">
        <w:rPr>
          <w:sz w:val="28"/>
          <w:szCs w:val="28"/>
        </w:rPr>
        <w:t>фосфорилирование</w:t>
      </w:r>
      <w:proofErr w:type="spellEnd"/>
      <w:r w:rsidRPr="00CE1EDD">
        <w:rPr>
          <w:sz w:val="28"/>
          <w:szCs w:val="28"/>
        </w:rPr>
        <w:t xml:space="preserve"> АДФ, то есть  разобщается дыхание и </w:t>
      </w:r>
      <w:proofErr w:type="spellStart"/>
      <w:r w:rsidRPr="00CE1EDD">
        <w:rPr>
          <w:sz w:val="28"/>
          <w:szCs w:val="28"/>
        </w:rPr>
        <w:t>фосфорилирование</w:t>
      </w:r>
      <w:proofErr w:type="spellEnd"/>
      <w:r w:rsidRPr="00CE1EDD">
        <w:rPr>
          <w:sz w:val="28"/>
          <w:szCs w:val="28"/>
        </w:rPr>
        <w:t xml:space="preserve"> [6,7,8]. Вторым, важным </w:t>
      </w:r>
      <w:proofErr w:type="gramStart"/>
      <w:r w:rsidRPr="00CE1EDD">
        <w:rPr>
          <w:sz w:val="28"/>
          <w:szCs w:val="28"/>
        </w:rPr>
        <w:t>фактором</w:t>
      </w:r>
      <w:proofErr w:type="gramEnd"/>
      <w:r w:rsidRPr="00CE1EDD">
        <w:rPr>
          <w:sz w:val="28"/>
          <w:szCs w:val="28"/>
        </w:rPr>
        <w:t xml:space="preserve"> влияющим на процессы образования макроэргических соединений в митохондриях при </w:t>
      </w:r>
      <w:proofErr w:type="spellStart"/>
      <w:r w:rsidRPr="00CE1EDD">
        <w:rPr>
          <w:sz w:val="28"/>
          <w:szCs w:val="28"/>
        </w:rPr>
        <w:t>токсификации</w:t>
      </w:r>
      <w:proofErr w:type="spellEnd"/>
      <w:r w:rsidRPr="00CE1EDD">
        <w:rPr>
          <w:sz w:val="28"/>
          <w:szCs w:val="28"/>
        </w:rPr>
        <w:t xml:space="preserve"> </w:t>
      </w:r>
      <w:proofErr w:type="spellStart"/>
      <w:r w:rsidRPr="00CE1EDD">
        <w:rPr>
          <w:sz w:val="28"/>
          <w:szCs w:val="28"/>
        </w:rPr>
        <w:t>гепатоцитов</w:t>
      </w:r>
      <w:proofErr w:type="spellEnd"/>
      <w:r w:rsidRPr="00CE1EDD">
        <w:rPr>
          <w:sz w:val="28"/>
          <w:szCs w:val="28"/>
        </w:rPr>
        <w:t xml:space="preserve">, может быть накопление свободных жирных кислот, которые, как известно, в больших количествах вызывают разобщение окисления и </w:t>
      </w:r>
      <w:proofErr w:type="spellStart"/>
      <w:r w:rsidRPr="00CE1EDD">
        <w:rPr>
          <w:sz w:val="28"/>
          <w:szCs w:val="28"/>
        </w:rPr>
        <w:t>фосфорилирования</w:t>
      </w:r>
      <w:proofErr w:type="spellEnd"/>
      <w:r w:rsidRPr="00CE1EDD">
        <w:rPr>
          <w:sz w:val="28"/>
          <w:szCs w:val="28"/>
        </w:rPr>
        <w:t>. Источником образования значительного количества свободных жирных кислот могут быть процессы, которые связаны с нарушением структурно-метаболической организации мембранных структур, в том числе и митохондрий [9].</w:t>
      </w:r>
    </w:p>
    <w:p w:rsidR="00A52DC2" w:rsidRPr="00CE1EDD" w:rsidRDefault="00A52DC2" w:rsidP="00A52DC2">
      <w:pPr>
        <w:jc w:val="both"/>
        <w:rPr>
          <w:b/>
          <w:sz w:val="28"/>
          <w:szCs w:val="28"/>
        </w:rPr>
      </w:pPr>
      <w:r w:rsidRPr="00CE1EDD">
        <w:rPr>
          <w:sz w:val="28"/>
          <w:szCs w:val="28"/>
        </w:rPr>
        <w:tab/>
      </w:r>
      <w:r w:rsidRPr="00CE1EDD">
        <w:rPr>
          <w:b/>
          <w:sz w:val="28"/>
          <w:szCs w:val="28"/>
        </w:rPr>
        <w:t xml:space="preserve">Вывод. </w:t>
      </w:r>
    </w:p>
    <w:p w:rsidR="00A52DC2" w:rsidRPr="00CE1EDD" w:rsidRDefault="00A52DC2" w:rsidP="00A52DC2">
      <w:pPr>
        <w:ind w:firstLine="708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Таким образом, результаты исследований показали, что </w:t>
      </w:r>
      <w:proofErr w:type="spellStart"/>
      <w:r w:rsidRPr="00CE1EDD">
        <w:rPr>
          <w:sz w:val="28"/>
          <w:szCs w:val="28"/>
        </w:rPr>
        <w:t>Лапроксид</w:t>
      </w:r>
      <w:proofErr w:type="spellEnd"/>
      <w:r w:rsidRPr="00CE1EDD">
        <w:rPr>
          <w:sz w:val="28"/>
          <w:szCs w:val="28"/>
        </w:rPr>
        <w:t xml:space="preserve"> Л-512 в малых </w:t>
      </w:r>
      <w:proofErr w:type="spellStart"/>
      <w:r w:rsidRPr="00CE1EDD">
        <w:rPr>
          <w:sz w:val="28"/>
          <w:szCs w:val="28"/>
        </w:rPr>
        <w:t>субтоксических</w:t>
      </w:r>
      <w:proofErr w:type="spellEnd"/>
      <w:r w:rsidRPr="00CE1EDD">
        <w:rPr>
          <w:sz w:val="28"/>
          <w:szCs w:val="28"/>
        </w:rPr>
        <w:t xml:space="preserve"> дозах 1/10 и 1/100 ДЛ</w:t>
      </w:r>
      <w:r w:rsidRPr="00CE1EDD">
        <w:rPr>
          <w:sz w:val="28"/>
          <w:szCs w:val="28"/>
          <w:vertAlign w:val="subscript"/>
        </w:rPr>
        <w:t>50</w:t>
      </w:r>
      <w:r w:rsidRPr="00CE1EDD">
        <w:rPr>
          <w:sz w:val="28"/>
          <w:szCs w:val="28"/>
        </w:rPr>
        <w:t xml:space="preserve"> в условиях длительного перорального поступления в организм способен резко снижать </w:t>
      </w:r>
      <w:proofErr w:type="spellStart"/>
      <w:proofErr w:type="gramStart"/>
      <w:r w:rsidRPr="00CE1EDD">
        <w:rPr>
          <w:sz w:val="28"/>
          <w:szCs w:val="28"/>
        </w:rPr>
        <w:t>энергопродукцию</w:t>
      </w:r>
      <w:proofErr w:type="spellEnd"/>
      <w:r w:rsidRPr="00CE1EDD">
        <w:rPr>
          <w:sz w:val="28"/>
          <w:szCs w:val="28"/>
        </w:rPr>
        <w:t xml:space="preserve">, разобщать дыхание и окислительное </w:t>
      </w:r>
      <w:proofErr w:type="spellStart"/>
      <w:r w:rsidRPr="00CE1EDD">
        <w:rPr>
          <w:sz w:val="28"/>
          <w:szCs w:val="28"/>
        </w:rPr>
        <w:t>фосфорилирование</w:t>
      </w:r>
      <w:proofErr w:type="spellEnd"/>
      <w:r w:rsidRPr="00CE1EDD">
        <w:rPr>
          <w:sz w:val="28"/>
          <w:szCs w:val="28"/>
        </w:rPr>
        <w:t>, которые сопряжены с развитием мембранной патологии.</w:t>
      </w:r>
      <w:proofErr w:type="gramEnd"/>
      <w:r w:rsidRPr="00CE1EDD">
        <w:rPr>
          <w:sz w:val="28"/>
          <w:szCs w:val="28"/>
        </w:rPr>
        <w:t xml:space="preserve"> Вещество в 1/1000 ДЛ</w:t>
      </w:r>
      <w:r w:rsidRPr="00CE1EDD">
        <w:rPr>
          <w:sz w:val="28"/>
          <w:szCs w:val="28"/>
          <w:vertAlign w:val="subscript"/>
        </w:rPr>
        <w:t>50</w:t>
      </w:r>
      <w:r w:rsidRPr="00CE1EDD">
        <w:rPr>
          <w:sz w:val="28"/>
          <w:szCs w:val="28"/>
        </w:rPr>
        <w:t xml:space="preserve"> не оказывают влияние на энергетику метаболических процессов в митохондриях.</w:t>
      </w:r>
    </w:p>
    <w:p w:rsidR="00A52DC2" w:rsidRPr="00CE1EDD" w:rsidRDefault="00A52DC2" w:rsidP="00A52DC2">
      <w:pPr>
        <w:jc w:val="center"/>
        <w:rPr>
          <w:b/>
          <w:bCs/>
          <w:sz w:val="28"/>
          <w:szCs w:val="28"/>
        </w:rPr>
      </w:pPr>
    </w:p>
    <w:p w:rsidR="00A52DC2" w:rsidRPr="00CE1EDD" w:rsidRDefault="00A52DC2" w:rsidP="00A52DC2">
      <w:pPr>
        <w:jc w:val="center"/>
        <w:rPr>
          <w:b/>
          <w:bCs/>
          <w:sz w:val="28"/>
          <w:szCs w:val="28"/>
        </w:rPr>
      </w:pPr>
      <w:r w:rsidRPr="00CE1EDD">
        <w:rPr>
          <w:b/>
          <w:bCs/>
          <w:sz w:val="28"/>
          <w:szCs w:val="28"/>
        </w:rPr>
        <w:t>Литература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  <w:tab w:val="num" w:pos="360"/>
        </w:tabs>
        <w:ind w:left="360" w:hanging="360"/>
        <w:jc w:val="both"/>
        <w:rPr>
          <w:sz w:val="28"/>
          <w:szCs w:val="28"/>
        </w:rPr>
      </w:pPr>
      <w:r w:rsidRPr="00CE1EDD">
        <w:rPr>
          <w:sz w:val="28"/>
          <w:szCs w:val="28"/>
        </w:rPr>
        <w:t>Научные основы обоснования прогноза потенциальной опасности детергентов в связи с регламентацией в воде водоемов / [Цыганенко А.Я., Жуков В.И., Щербань Н.Г., Евдокимов В.И.]. - Белгород</w:t>
      </w:r>
      <w:proofErr w:type="gramStart"/>
      <w:r w:rsidRPr="00CE1EDD">
        <w:rPr>
          <w:sz w:val="28"/>
          <w:szCs w:val="28"/>
        </w:rPr>
        <w:t xml:space="preserve">.: </w:t>
      </w:r>
      <w:proofErr w:type="spellStart"/>
      <w:proofErr w:type="gramEnd"/>
      <w:r w:rsidRPr="00CE1EDD">
        <w:rPr>
          <w:sz w:val="28"/>
          <w:szCs w:val="28"/>
        </w:rPr>
        <w:t>Белвитамины</w:t>
      </w:r>
      <w:proofErr w:type="spellEnd"/>
      <w:r w:rsidRPr="00CE1EDD">
        <w:rPr>
          <w:sz w:val="28"/>
          <w:szCs w:val="28"/>
        </w:rPr>
        <w:t>., 2001. – 422 с.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</w:tabs>
        <w:ind w:left="360" w:hanging="360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Медико-биологические аспекты проблемы охраны водных объектов от загрязнения поверхностно-активными веществами / [Жуков В.И., </w:t>
      </w:r>
      <w:proofErr w:type="spellStart"/>
      <w:r w:rsidRPr="00CE1EDD">
        <w:rPr>
          <w:sz w:val="28"/>
          <w:szCs w:val="28"/>
        </w:rPr>
        <w:t>Кратенко</w:t>
      </w:r>
      <w:proofErr w:type="spellEnd"/>
      <w:r w:rsidRPr="00CE1EDD">
        <w:rPr>
          <w:sz w:val="28"/>
          <w:szCs w:val="28"/>
        </w:rPr>
        <w:t xml:space="preserve"> Р.И., Резуненко Ю.К., Зайцева О.В. и др.]. – Харьков</w:t>
      </w:r>
      <w:proofErr w:type="gramStart"/>
      <w:r w:rsidRPr="00CE1EDD">
        <w:rPr>
          <w:sz w:val="28"/>
          <w:szCs w:val="28"/>
        </w:rPr>
        <w:t xml:space="preserve">.: </w:t>
      </w:r>
      <w:proofErr w:type="gramEnd"/>
      <w:r w:rsidRPr="00CE1EDD">
        <w:rPr>
          <w:sz w:val="28"/>
          <w:szCs w:val="28"/>
        </w:rPr>
        <w:t>Торнадо., 2000. – 394 с.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</w:tabs>
        <w:ind w:left="360" w:hanging="360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Биологическая активность детергентов – производных </w:t>
      </w:r>
      <w:proofErr w:type="spellStart"/>
      <w:r w:rsidRPr="00CE1EDD">
        <w:rPr>
          <w:sz w:val="28"/>
          <w:szCs w:val="28"/>
        </w:rPr>
        <w:t>нонилбензолов</w:t>
      </w:r>
      <w:proofErr w:type="spellEnd"/>
      <w:r w:rsidRPr="00CE1EDD">
        <w:rPr>
          <w:sz w:val="28"/>
          <w:szCs w:val="28"/>
        </w:rPr>
        <w:t xml:space="preserve"> в связи с проблемой охраны водных объектов / [Жуков В.И., Стеценко С.А., </w:t>
      </w:r>
      <w:proofErr w:type="spellStart"/>
      <w:r w:rsidRPr="00CE1EDD">
        <w:rPr>
          <w:sz w:val="28"/>
          <w:szCs w:val="28"/>
        </w:rPr>
        <w:t>Пивень</w:t>
      </w:r>
      <w:proofErr w:type="spellEnd"/>
      <w:r w:rsidRPr="00CE1EDD">
        <w:rPr>
          <w:sz w:val="28"/>
          <w:szCs w:val="28"/>
        </w:rPr>
        <w:t xml:space="preserve"> В.И., Мясоедов В.В. и др.]. - Белгород</w:t>
      </w:r>
      <w:proofErr w:type="gramStart"/>
      <w:r w:rsidRPr="00CE1EDD">
        <w:rPr>
          <w:sz w:val="28"/>
          <w:szCs w:val="28"/>
        </w:rPr>
        <w:t xml:space="preserve">.: </w:t>
      </w:r>
      <w:proofErr w:type="spellStart"/>
      <w:proofErr w:type="gramEnd"/>
      <w:r w:rsidRPr="00CE1EDD">
        <w:rPr>
          <w:sz w:val="28"/>
          <w:szCs w:val="28"/>
        </w:rPr>
        <w:t>Белвитамины</w:t>
      </w:r>
      <w:proofErr w:type="spellEnd"/>
      <w:r w:rsidRPr="00CE1EDD">
        <w:rPr>
          <w:sz w:val="28"/>
          <w:szCs w:val="28"/>
        </w:rPr>
        <w:t>., 2000. – 237 с.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</w:tabs>
        <w:ind w:left="360" w:hanging="360"/>
        <w:jc w:val="both"/>
        <w:rPr>
          <w:sz w:val="28"/>
          <w:szCs w:val="28"/>
        </w:rPr>
      </w:pPr>
      <w:r w:rsidRPr="00CE1EDD">
        <w:rPr>
          <w:sz w:val="28"/>
          <w:szCs w:val="28"/>
        </w:rPr>
        <w:t>Эколого-гигиеническая характеристика азотсодержащих поверхностно-активных веществ как загрязнителей водоемов / [Жуков В.И., Мясоедов В.В., Стеценко С.А., Козин Ю.И. и др.]. - Харьков</w:t>
      </w:r>
      <w:proofErr w:type="gramStart"/>
      <w:r w:rsidRPr="00CE1EDD">
        <w:rPr>
          <w:sz w:val="28"/>
          <w:szCs w:val="28"/>
        </w:rPr>
        <w:t xml:space="preserve">.: </w:t>
      </w:r>
      <w:proofErr w:type="gramEnd"/>
      <w:r w:rsidRPr="00CE1EDD">
        <w:rPr>
          <w:sz w:val="28"/>
          <w:szCs w:val="28"/>
        </w:rPr>
        <w:t>Торнадо., 2000. – 180 с.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</w:tabs>
        <w:ind w:left="360" w:hanging="360"/>
        <w:jc w:val="both"/>
        <w:rPr>
          <w:sz w:val="28"/>
          <w:szCs w:val="28"/>
        </w:rPr>
      </w:pPr>
      <w:r w:rsidRPr="00CE1EDD">
        <w:rPr>
          <w:sz w:val="28"/>
          <w:szCs w:val="28"/>
        </w:rPr>
        <w:t xml:space="preserve">Эколого-гигиеническая характеристика детергентов на основе </w:t>
      </w:r>
      <w:proofErr w:type="spellStart"/>
      <w:r w:rsidRPr="00CE1EDD">
        <w:rPr>
          <w:sz w:val="28"/>
          <w:szCs w:val="28"/>
        </w:rPr>
        <w:t>алкилфенолов</w:t>
      </w:r>
      <w:proofErr w:type="spellEnd"/>
      <w:r w:rsidRPr="00CE1EDD">
        <w:rPr>
          <w:sz w:val="28"/>
          <w:szCs w:val="28"/>
        </w:rPr>
        <w:t xml:space="preserve">, </w:t>
      </w:r>
      <w:proofErr w:type="spellStart"/>
      <w:r w:rsidRPr="00CE1EDD">
        <w:rPr>
          <w:sz w:val="28"/>
          <w:szCs w:val="28"/>
        </w:rPr>
        <w:t>изононилфенолов</w:t>
      </w:r>
      <w:proofErr w:type="spellEnd"/>
      <w:r w:rsidRPr="00CE1EDD">
        <w:rPr>
          <w:sz w:val="28"/>
          <w:szCs w:val="28"/>
        </w:rPr>
        <w:t xml:space="preserve">  и вторичных спиртовых фракций С</w:t>
      </w:r>
      <w:r w:rsidRPr="00CE1EDD">
        <w:rPr>
          <w:sz w:val="28"/>
          <w:szCs w:val="28"/>
          <w:vertAlign w:val="subscript"/>
        </w:rPr>
        <w:t>10-20</w:t>
      </w:r>
      <w:r w:rsidRPr="00CE1EDD">
        <w:rPr>
          <w:sz w:val="28"/>
          <w:szCs w:val="28"/>
        </w:rPr>
        <w:t xml:space="preserve"> как загрязнителей водоемов / [Цыганенко А.Я., Шаповал Л.Г, </w:t>
      </w:r>
      <w:proofErr w:type="spellStart"/>
      <w:r w:rsidRPr="00CE1EDD">
        <w:rPr>
          <w:sz w:val="28"/>
          <w:szCs w:val="28"/>
        </w:rPr>
        <w:t>Зовский</w:t>
      </w:r>
      <w:proofErr w:type="spellEnd"/>
      <w:r w:rsidRPr="00CE1EDD">
        <w:rPr>
          <w:sz w:val="28"/>
          <w:szCs w:val="28"/>
        </w:rPr>
        <w:t xml:space="preserve"> В.Н., Щербань Н.Г.]. – Белгород</w:t>
      </w:r>
      <w:proofErr w:type="gramStart"/>
      <w:r w:rsidRPr="00CE1EDD">
        <w:rPr>
          <w:sz w:val="28"/>
          <w:szCs w:val="28"/>
        </w:rPr>
        <w:t xml:space="preserve">.: </w:t>
      </w:r>
      <w:proofErr w:type="spellStart"/>
      <w:proofErr w:type="gramEnd"/>
      <w:r w:rsidRPr="00CE1EDD">
        <w:rPr>
          <w:sz w:val="28"/>
          <w:szCs w:val="28"/>
        </w:rPr>
        <w:t>Белвитамины</w:t>
      </w:r>
      <w:proofErr w:type="spellEnd"/>
      <w:r w:rsidRPr="00CE1EDD">
        <w:rPr>
          <w:sz w:val="28"/>
          <w:szCs w:val="28"/>
        </w:rPr>
        <w:t>., 2000. – 170 с.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</w:tabs>
        <w:ind w:left="360" w:hanging="360"/>
        <w:jc w:val="both"/>
        <w:rPr>
          <w:sz w:val="28"/>
          <w:szCs w:val="28"/>
          <w:lang w:val="en-US"/>
        </w:rPr>
      </w:pPr>
      <w:r w:rsidRPr="00CE1EDD">
        <w:rPr>
          <w:sz w:val="28"/>
          <w:szCs w:val="28"/>
          <w:lang w:val="en-US"/>
        </w:rPr>
        <w:t xml:space="preserve">Chance B. Respiratory enzymes in oxidative phosphorylation J. kinetics of </w:t>
      </w:r>
      <w:proofErr w:type="spellStart"/>
      <w:r w:rsidRPr="00CE1EDD">
        <w:rPr>
          <w:sz w:val="28"/>
          <w:szCs w:val="28"/>
          <w:lang w:val="en-US"/>
        </w:rPr>
        <w:t>oxyden</w:t>
      </w:r>
      <w:proofErr w:type="spellEnd"/>
      <w:r w:rsidRPr="00CE1EDD">
        <w:rPr>
          <w:sz w:val="28"/>
          <w:szCs w:val="28"/>
          <w:lang w:val="en-US"/>
        </w:rPr>
        <w:t xml:space="preserve"> utilization / B. Chance, G.R. Williams // J. Biol. Chem., 1955. – Vol. 217, </w:t>
      </w:r>
      <w:r w:rsidRPr="00CE1EDD">
        <w:rPr>
          <w:sz w:val="28"/>
          <w:szCs w:val="28"/>
        </w:rPr>
        <w:t>№ 1</w:t>
      </w:r>
      <w:r w:rsidRPr="00CE1EDD">
        <w:rPr>
          <w:sz w:val="28"/>
          <w:szCs w:val="28"/>
          <w:lang w:val="en-US"/>
        </w:rPr>
        <w:t>.</w:t>
      </w:r>
      <w:r w:rsidRPr="00CE1EDD">
        <w:rPr>
          <w:sz w:val="28"/>
          <w:szCs w:val="28"/>
        </w:rPr>
        <w:t xml:space="preserve"> – </w:t>
      </w:r>
      <w:r w:rsidRPr="00CE1EDD">
        <w:rPr>
          <w:sz w:val="28"/>
          <w:szCs w:val="28"/>
          <w:lang w:val="en-US"/>
        </w:rPr>
        <w:t>P. 383-395.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</w:tabs>
        <w:ind w:left="360" w:hanging="360"/>
        <w:jc w:val="both"/>
        <w:rPr>
          <w:sz w:val="28"/>
          <w:szCs w:val="28"/>
        </w:rPr>
      </w:pPr>
      <w:proofErr w:type="spellStart"/>
      <w:r w:rsidRPr="00CE1EDD">
        <w:rPr>
          <w:sz w:val="28"/>
          <w:szCs w:val="28"/>
        </w:rPr>
        <w:t>Мешкова</w:t>
      </w:r>
      <w:proofErr w:type="spellEnd"/>
      <w:r w:rsidRPr="00CE1EDD">
        <w:rPr>
          <w:sz w:val="28"/>
          <w:szCs w:val="28"/>
        </w:rPr>
        <w:t xml:space="preserve"> Н.П. Практикум по биохимии / Н.П. </w:t>
      </w:r>
      <w:proofErr w:type="spellStart"/>
      <w:r w:rsidRPr="00CE1EDD">
        <w:rPr>
          <w:sz w:val="28"/>
          <w:szCs w:val="28"/>
        </w:rPr>
        <w:t>Мешкова</w:t>
      </w:r>
      <w:proofErr w:type="spellEnd"/>
      <w:r w:rsidRPr="00CE1EDD">
        <w:rPr>
          <w:sz w:val="28"/>
          <w:szCs w:val="28"/>
        </w:rPr>
        <w:t xml:space="preserve">, С.Е. </w:t>
      </w:r>
      <w:proofErr w:type="spellStart"/>
      <w:r w:rsidRPr="00CE1EDD">
        <w:rPr>
          <w:sz w:val="28"/>
          <w:szCs w:val="28"/>
        </w:rPr>
        <w:t>Северин</w:t>
      </w:r>
      <w:proofErr w:type="spellEnd"/>
      <w:r w:rsidRPr="00CE1EDD">
        <w:rPr>
          <w:sz w:val="28"/>
          <w:szCs w:val="28"/>
        </w:rPr>
        <w:t>. – М.: МГУ, 1979. – 428 с.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</w:tabs>
        <w:ind w:left="360" w:hanging="360"/>
        <w:jc w:val="both"/>
        <w:rPr>
          <w:sz w:val="28"/>
          <w:szCs w:val="28"/>
        </w:rPr>
      </w:pPr>
      <w:r w:rsidRPr="00CE1EDD">
        <w:rPr>
          <w:sz w:val="28"/>
          <w:szCs w:val="28"/>
        </w:rPr>
        <w:lastRenderedPageBreak/>
        <w:t>Биохимия миокарда, поврежденного адреналином / [Денисов В.М., Рукавишникова С.М., Жуков В.И.]. – Харьков</w:t>
      </w:r>
      <w:proofErr w:type="gramStart"/>
      <w:r w:rsidRPr="00CE1EDD">
        <w:rPr>
          <w:sz w:val="28"/>
          <w:szCs w:val="28"/>
        </w:rPr>
        <w:t xml:space="preserve">.: </w:t>
      </w:r>
      <w:proofErr w:type="gramEnd"/>
      <w:r w:rsidRPr="00CE1EDD">
        <w:rPr>
          <w:sz w:val="28"/>
          <w:szCs w:val="28"/>
        </w:rPr>
        <w:t xml:space="preserve">РИП „Оригинал”, 1999. – 184 с. </w:t>
      </w:r>
    </w:p>
    <w:p w:rsidR="00A52DC2" w:rsidRPr="00CE1EDD" w:rsidRDefault="00A52DC2" w:rsidP="00A52DC2">
      <w:pPr>
        <w:numPr>
          <w:ilvl w:val="0"/>
          <w:numId w:val="1"/>
        </w:numPr>
        <w:tabs>
          <w:tab w:val="clear" w:pos="855"/>
        </w:tabs>
        <w:ind w:left="360" w:hanging="360"/>
        <w:jc w:val="both"/>
        <w:rPr>
          <w:sz w:val="28"/>
          <w:szCs w:val="28"/>
        </w:rPr>
      </w:pPr>
      <w:proofErr w:type="gramStart"/>
      <w:r w:rsidRPr="00CE1EDD">
        <w:rPr>
          <w:sz w:val="28"/>
          <w:szCs w:val="28"/>
        </w:rPr>
        <w:t xml:space="preserve">Марченко М.М. </w:t>
      </w:r>
      <w:r w:rsidRPr="00CE1EDD">
        <w:rPr>
          <w:sz w:val="28"/>
          <w:szCs w:val="28"/>
          <w:lang w:val="uk-UA"/>
        </w:rPr>
        <w:t xml:space="preserve">Біохімічна </w:t>
      </w:r>
      <w:proofErr w:type="spellStart"/>
      <w:r w:rsidRPr="00CE1EDD">
        <w:rPr>
          <w:sz w:val="28"/>
          <w:szCs w:val="28"/>
          <w:lang w:val="uk-UA"/>
        </w:rPr>
        <w:t>біотрансформація</w:t>
      </w:r>
      <w:proofErr w:type="spellEnd"/>
      <w:r w:rsidRPr="00CE1EDD">
        <w:rPr>
          <w:sz w:val="28"/>
          <w:szCs w:val="28"/>
          <w:lang w:val="uk-UA"/>
        </w:rPr>
        <w:t xml:space="preserve"> </w:t>
      </w:r>
      <w:proofErr w:type="spellStart"/>
      <w:r w:rsidRPr="00CE1EDD">
        <w:rPr>
          <w:sz w:val="28"/>
          <w:szCs w:val="28"/>
          <w:lang w:val="uk-UA"/>
        </w:rPr>
        <w:t>ксенобіотиків</w:t>
      </w:r>
      <w:proofErr w:type="spellEnd"/>
      <w:r w:rsidRPr="00CE1EDD">
        <w:rPr>
          <w:sz w:val="28"/>
          <w:szCs w:val="28"/>
          <w:lang w:val="uk-UA"/>
        </w:rPr>
        <w:t xml:space="preserve"> у організмі / М.М. Марченко, О.В. </w:t>
      </w:r>
      <w:proofErr w:type="spellStart"/>
      <w:r w:rsidRPr="00CE1EDD">
        <w:rPr>
          <w:sz w:val="28"/>
          <w:szCs w:val="28"/>
          <w:lang w:val="uk-UA"/>
        </w:rPr>
        <w:t>Кеца</w:t>
      </w:r>
      <w:proofErr w:type="spellEnd"/>
      <w:r w:rsidRPr="00CE1EDD">
        <w:rPr>
          <w:sz w:val="28"/>
          <w:szCs w:val="28"/>
          <w:lang w:val="uk-UA"/>
        </w:rPr>
        <w:t>, М.М. Великий.</w:t>
      </w:r>
      <w:proofErr w:type="gramEnd"/>
      <w:r w:rsidRPr="00CE1EDD">
        <w:rPr>
          <w:sz w:val="28"/>
          <w:szCs w:val="28"/>
          <w:lang w:val="uk-UA"/>
        </w:rPr>
        <w:t xml:space="preserve"> – Чернівці: Чернівецький нац. ун-т, 2011. – 280 с.</w:t>
      </w:r>
    </w:p>
    <w:p w:rsidR="00A52DC2" w:rsidRPr="00CE1EDD" w:rsidRDefault="00A52DC2" w:rsidP="00A52DC2">
      <w:pPr>
        <w:jc w:val="both"/>
        <w:rPr>
          <w:sz w:val="28"/>
          <w:szCs w:val="28"/>
        </w:rPr>
      </w:pPr>
    </w:p>
    <w:p w:rsidR="00DF1FC5" w:rsidRDefault="00DF1FC5"/>
    <w:sectPr w:rsidR="00DF1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3379"/>
    <w:multiLevelType w:val="hybridMultilevel"/>
    <w:tmpl w:val="50EE1692"/>
    <w:lvl w:ilvl="0" w:tplc="DAE665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0"/>
    <w:rsid w:val="00A52DC2"/>
    <w:rsid w:val="00D76A50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52DC2"/>
    <w:pPr>
      <w:spacing w:line="360" w:lineRule="auto"/>
      <w:ind w:left="540" w:right="-850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52DC2"/>
    <w:pPr>
      <w:spacing w:line="360" w:lineRule="auto"/>
      <w:ind w:left="540" w:right="-850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8336</Words>
  <Characters>4752</Characters>
  <Application>Microsoft Office Word</Application>
  <DocSecurity>0</DocSecurity>
  <Lines>39</Lines>
  <Paragraphs>26</Paragraphs>
  <ScaleCrop>false</ScaleCrop>
  <Company>Krokoz™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2015-12-04T10:24:00Z</dcterms:created>
  <dcterms:modified xsi:type="dcterms:W3CDTF">2015-12-04T10:26:00Z</dcterms:modified>
</cp:coreProperties>
</file>