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82" w:rsidRPr="007B0125" w:rsidRDefault="00F15582" w:rsidP="00F15582">
      <w:pPr>
        <w:spacing w:line="240" w:lineRule="auto"/>
        <w:ind w:firstLine="284"/>
        <w:rPr>
          <w:rFonts w:ascii="Times New Roman" w:hAnsi="Times New Roman"/>
          <w:w w:val="110"/>
          <w:lang w:val="uk-UA"/>
        </w:rPr>
      </w:pPr>
      <w:bookmarkStart w:id="0" w:name="_GoBack"/>
      <w:r w:rsidRPr="007B0125">
        <w:rPr>
          <w:rFonts w:ascii="Times New Roman" w:hAnsi="Times New Roman"/>
          <w:lang w:val="uk-UA"/>
        </w:rPr>
        <w:t>УДК</w:t>
      </w:r>
      <w:r w:rsidRPr="007B0125">
        <w:rPr>
          <w:rFonts w:ascii="Times New Roman" w:hAnsi="Times New Roman"/>
        </w:rPr>
        <w:t xml:space="preserve"> 616.517: 612.017.1</w:t>
      </w:r>
      <w:r w:rsidRPr="007B0125">
        <w:rPr>
          <w:rFonts w:ascii="Times New Roman" w:hAnsi="Times New Roman"/>
          <w:w w:val="110"/>
          <w:lang w:val="uk-UA"/>
        </w:rPr>
        <w:t xml:space="preserve"> </w:t>
      </w:r>
    </w:p>
    <w:p w:rsidR="00996402" w:rsidRPr="00996402" w:rsidRDefault="00996402" w:rsidP="00996402">
      <w:pPr>
        <w:spacing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996402">
        <w:rPr>
          <w:rFonts w:ascii="Times New Roman" w:hAnsi="Times New Roman"/>
          <w:b/>
          <w:sz w:val="20"/>
          <w:szCs w:val="20"/>
        </w:rPr>
        <w:t>ОПРЕДЕЛЕНИЕ НАРУШЕНИЯ НЕКОТОРЫХ ПОКАЗАТЕЛЕЙ ИММУННОЙ СИСТЕМЫ У БОЛЬНЫХ ПСОРИАЗОМ</w:t>
      </w:r>
    </w:p>
    <w:p w:rsidR="00996402" w:rsidRPr="00996402" w:rsidRDefault="00996402" w:rsidP="003679E3">
      <w:pPr>
        <w:shd w:val="clear" w:color="auto" w:fill="FFFFFF"/>
        <w:spacing w:line="240" w:lineRule="auto"/>
        <w:ind w:firstLine="284"/>
        <w:jc w:val="center"/>
        <w:rPr>
          <w:rFonts w:ascii="Times New Roman" w:hAnsi="Times New Roman"/>
          <w:i/>
          <w:color w:val="231F20"/>
          <w:sz w:val="20"/>
          <w:szCs w:val="20"/>
          <w:lang w:val="uk-UA"/>
        </w:rPr>
      </w:pPr>
      <w:proofErr w:type="spellStart"/>
      <w:r w:rsidRPr="00996402">
        <w:rPr>
          <w:rFonts w:ascii="Times New Roman" w:hAnsi="Times New Roman"/>
          <w:i/>
          <w:color w:val="231F20"/>
          <w:sz w:val="20"/>
          <w:szCs w:val="20"/>
          <w:lang w:val="uk-UA"/>
        </w:rPr>
        <w:t>Добржанская</w:t>
      </w:r>
      <w:proofErr w:type="spellEnd"/>
      <w:r w:rsidRPr="00996402">
        <w:rPr>
          <w:rFonts w:ascii="Times New Roman" w:hAnsi="Times New Roman"/>
          <w:i/>
          <w:color w:val="231F20"/>
          <w:sz w:val="20"/>
          <w:szCs w:val="20"/>
          <w:lang w:val="uk-UA"/>
        </w:rPr>
        <w:t xml:space="preserve"> Е.И.</w:t>
      </w:r>
    </w:p>
    <w:p w:rsidR="00996402" w:rsidRPr="00996402" w:rsidRDefault="00996402" w:rsidP="003679E3">
      <w:pPr>
        <w:shd w:val="clear" w:color="auto" w:fill="FFFFFF"/>
        <w:spacing w:line="240" w:lineRule="auto"/>
        <w:ind w:firstLine="284"/>
        <w:jc w:val="center"/>
        <w:rPr>
          <w:rFonts w:ascii="Times New Roman" w:hAnsi="Times New Roman"/>
          <w:i/>
          <w:color w:val="231F20"/>
          <w:sz w:val="20"/>
          <w:szCs w:val="20"/>
          <w:lang w:val="uk-UA"/>
        </w:rPr>
      </w:pPr>
      <w:proofErr w:type="spellStart"/>
      <w:r w:rsidRPr="00996402">
        <w:rPr>
          <w:rFonts w:ascii="Times New Roman" w:hAnsi="Times New Roman"/>
          <w:i/>
          <w:color w:val="231F20"/>
          <w:sz w:val="20"/>
          <w:szCs w:val="20"/>
          <w:lang w:val="uk-UA"/>
        </w:rPr>
        <w:t>Харьковский</w:t>
      </w:r>
      <w:proofErr w:type="spellEnd"/>
      <w:r w:rsidRPr="00996402">
        <w:rPr>
          <w:rFonts w:ascii="Times New Roman" w:hAnsi="Times New Roman"/>
          <w:i/>
          <w:color w:val="231F20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i/>
          <w:color w:val="231F20"/>
          <w:sz w:val="20"/>
          <w:szCs w:val="20"/>
          <w:lang w:val="uk-UA"/>
        </w:rPr>
        <w:t>национальный</w:t>
      </w:r>
      <w:proofErr w:type="spellEnd"/>
      <w:r w:rsidRPr="00996402">
        <w:rPr>
          <w:rFonts w:ascii="Times New Roman" w:hAnsi="Times New Roman"/>
          <w:i/>
          <w:color w:val="231F20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i/>
          <w:color w:val="231F20"/>
          <w:sz w:val="20"/>
          <w:szCs w:val="20"/>
          <w:lang w:val="uk-UA"/>
        </w:rPr>
        <w:t>медицинский</w:t>
      </w:r>
      <w:proofErr w:type="spellEnd"/>
      <w:r w:rsidRPr="00996402">
        <w:rPr>
          <w:rFonts w:ascii="Times New Roman" w:hAnsi="Times New Roman"/>
          <w:i/>
          <w:color w:val="231F20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i/>
          <w:color w:val="231F20"/>
          <w:sz w:val="20"/>
          <w:szCs w:val="20"/>
          <w:lang w:val="uk-UA"/>
        </w:rPr>
        <w:t>университет</w:t>
      </w:r>
      <w:proofErr w:type="spellEnd"/>
    </w:p>
    <w:p w:rsidR="00A56379" w:rsidRPr="00996402" w:rsidRDefault="00A56379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</w:p>
    <w:p w:rsidR="0064614F" w:rsidRPr="00996402" w:rsidRDefault="0064614F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 xml:space="preserve">Псориаз остается одной из актуальных проблем современной дерматологии. </w:t>
      </w:r>
      <w:r w:rsidR="00BE4DDF" w:rsidRPr="00996402">
        <w:rPr>
          <w:rFonts w:ascii="Times New Roman" w:hAnsi="Times New Roman"/>
          <w:sz w:val="20"/>
          <w:szCs w:val="20"/>
        </w:rPr>
        <w:t>«</w:t>
      </w:r>
      <w:r w:rsidRPr="00996402">
        <w:rPr>
          <w:rFonts w:ascii="Times New Roman" w:hAnsi="Times New Roman"/>
          <w:sz w:val="20"/>
          <w:szCs w:val="20"/>
        </w:rPr>
        <w:t xml:space="preserve">Высокий удельный вес (до 15%) среди других поражений кожи, </w:t>
      </w:r>
      <w:proofErr w:type="spellStart"/>
      <w:r w:rsidRPr="00996402">
        <w:rPr>
          <w:rFonts w:ascii="Times New Roman" w:hAnsi="Times New Roman"/>
          <w:sz w:val="20"/>
          <w:szCs w:val="20"/>
        </w:rPr>
        <w:t>мультифакторность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этиологии, хроническое рецидивирующее течение, недостаточная эффективность существующих средств терапии, неполная изученность механизмов развития</w:t>
      </w:r>
      <w:r w:rsidR="00BE4DDF" w:rsidRPr="00996402">
        <w:rPr>
          <w:rFonts w:ascii="Times New Roman" w:hAnsi="Times New Roman"/>
          <w:sz w:val="20"/>
          <w:szCs w:val="20"/>
        </w:rPr>
        <w:t>»</w:t>
      </w:r>
      <w:r w:rsidRPr="00996402">
        <w:rPr>
          <w:rFonts w:ascii="Times New Roman" w:hAnsi="Times New Roman"/>
          <w:sz w:val="20"/>
          <w:szCs w:val="20"/>
        </w:rPr>
        <w:t xml:space="preserve"> </w:t>
      </w:r>
      <w:r w:rsidR="00BE4DDF" w:rsidRPr="00996402">
        <w:rPr>
          <w:rFonts w:ascii="Times New Roman" w:hAnsi="Times New Roman"/>
          <w:sz w:val="20"/>
          <w:szCs w:val="20"/>
        </w:rPr>
        <w:t xml:space="preserve">[1, с. 140] </w:t>
      </w:r>
      <w:r w:rsidRPr="00996402">
        <w:rPr>
          <w:rFonts w:ascii="Times New Roman" w:hAnsi="Times New Roman"/>
          <w:sz w:val="20"/>
          <w:szCs w:val="20"/>
        </w:rPr>
        <w:t xml:space="preserve">обусловливают необходимость дальнейшего исследования патогенеза заболевания и разработки методов лечения этого дерматоза. </w:t>
      </w:r>
    </w:p>
    <w:p w:rsidR="0064614F" w:rsidRPr="00996402" w:rsidRDefault="00BE4DDF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>«</w:t>
      </w:r>
      <w:r w:rsidRPr="00996402">
        <w:rPr>
          <w:rFonts w:ascii="Times New Roman" w:hAnsi="Times New Roman"/>
          <w:sz w:val="20"/>
          <w:szCs w:val="20"/>
          <w:shd w:val="clear" w:color="auto" w:fill="FFFFFF"/>
        </w:rPr>
        <w:t xml:space="preserve">Важную роль в развитии псориаза играют дендритные клетки и активированные Т-лимфоциты, взаимодействие которых запускает ряд механизмов, приводящих в конечном итоге к развитию </w:t>
      </w:r>
      <w:proofErr w:type="gramStart"/>
      <w:r w:rsidRPr="00996402">
        <w:rPr>
          <w:rFonts w:ascii="Times New Roman" w:hAnsi="Times New Roman"/>
          <w:sz w:val="20"/>
          <w:szCs w:val="20"/>
          <w:shd w:val="clear" w:color="auto" w:fill="FFFFFF"/>
        </w:rPr>
        <w:t>воспали- тельного</w:t>
      </w:r>
      <w:proofErr w:type="gramEnd"/>
      <w:r w:rsidRPr="00996402">
        <w:rPr>
          <w:rFonts w:ascii="Times New Roman" w:hAnsi="Times New Roman"/>
          <w:sz w:val="20"/>
          <w:szCs w:val="20"/>
          <w:shd w:val="clear" w:color="auto" w:fill="FFFFFF"/>
        </w:rPr>
        <w:t xml:space="preserve"> процесса и формированию </w:t>
      </w:r>
      <w:proofErr w:type="spellStart"/>
      <w:r w:rsidRPr="00996402">
        <w:rPr>
          <w:rFonts w:ascii="Times New Roman" w:hAnsi="Times New Roman"/>
          <w:sz w:val="20"/>
          <w:szCs w:val="20"/>
          <w:shd w:val="clear" w:color="auto" w:fill="FFFFFF"/>
        </w:rPr>
        <w:t>псориатических</w:t>
      </w:r>
      <w:proofErr w:type="spellEnd"/>
      <w:r w:rsidRPr="00996402">
        <w:rPr>
          <w:rFonts w:ascii="Times New Roman" w:hAnsi="Times New Roman"/>
          <w:sz w:val="20"/>
          <w:szCs w:val="20"/>
          <w:shd w:val="clear" w:color="auto" w:fill="FFFFFF"/>
        </w:rPr>
        <w:t xml:space="preserve"> поражений кожи»</w:t>
      </w:r>
      <w:r w:rsidR="0064614F" w:rsidRPr="00996402">
        <w:rPr>
          <w:rFonts w:ascii="Times New Roman" w:hAnsi="Times New Roman"/>
          <w:sz w:val="20"/>
          <w:szCs w:val="20"/>
        </w:rPr>
        <w:t xml:space="preserve"> [</w:t>
      </w:r>
      <w:r w:rsidR="006F08E1" w:rsidRPr="00996402">
        <w:rPr>
          <w:rFonts w:ascii="Times New Roman" w:hAnsi="Times New Roman"/>
          <w:sz w:val="20"/>
          <w:szCs w:val="20"/>
        </w:rPr>
        <w:t>2, с 35</w:t>
      </w:r>
      <w:r w:rsidR="0064614F" w:rsidRPr="00996402">
        <w:rPr>
          <w:rFonts w:ascii="Times New Roman" w:hAnsi="Times New Roman"/>
          <w:sz w:val="20"/>
          <w:szCs w:val="20"/>
        </w:rPr>
        <w:t>]. Иммунологические исследования установили обусловленность псориаза функциональными и коммуника</w:t>
      </w:r>
      <w:r w:rsidR="006F08E1" w:rsidRPr="00996402">
        <w:rPr>
          <w:rFonts w:ascii="Times New Roman" w:hAnsi="Times New Roman"/>
          <w:sz w:val="20"/>
          <w:szCs w:val="20"/>
        </w:rPr>
        <w:t>тивными аномалиями Т-лимфоцитов</w:t>
      </w:r>
      <w:r w:rsidR="0064614F" w:rsidRPr="00996402">
        <w:rPr>
          <w:rFonts w:ascii="Times New Roman" w:hAnsi="Times New Roman"/>
          <w:sz w:val="20"/>
          <w:szCs w:val="20"/>
        </w:rPr>
        <w:t xml:space="preserve">. </w:t>
      </w:r>
      <w:r w:rsidR="006F08E1" w:rsidRPr="00996402">
        <w:rPr>
          <w:rFonts w:ascii="Times New Roman" w:hAnsi="Times New Roman"/>
          <w:sz w:val="20"/>
          <w:szCs w:val="20"/>
        </w:rPr>
        <w:t xml:space="preserve">«Установленное </w:t>
      </w:r>
      <w:proofErr w:type="spellStart"/>
      <w:r w:rsidR="006F08E1" w:rsidRPr="00996402">
        <w:rPr>
          <w:rFonts w:ascii="Times New Roman" w:hAnsi="Times New Roman"/>
          <w:sz w:val="20"/>
          <w:szCs w:val="20"/>
        </w:rPr>
        <w:t>гиперактивное</w:t>
      </w:r>
      <w:proofErr w:type="spellEnd"/>
      <w:r w:rsidR="006F08E1" w:rsidRPr="00996402">
        <w:rPr>
          <w:rFonts w:ascii="Times New Roman" w:hAnsi="Times New Roman"/>
          <w:sz w:val="20"/>
          <w:szCs w:val="20"/>
        </w:rPr>
        <w:t xml:space="preserve"> состояние Т-хелперов при псориазе сегодня рассматривается в качестве главного механизма, приводящего к </w:t>
      </w:r>
      <w:proofErr w:type="spellStart"/>
      <w:r w:rsidR="006F08E1" w:rsidRPr="00996402">
        <w:rPr>
          <w:rFonts w:ascii="Times New Roman" w:hAnsi="Times New Roman"/>
          <w:sz w:val="20"/>
          <w:szCs w:val="20"/>
        </w:rPr>
        <w:t>эпидермальной</w:t>
      </w:r>
      <w:proofErr w:type="spellEnd"/>
      <w:r w:rsidR="006F08E1" w:rsidRPr="00996402">
        <w:rPr>
          <w:rFonts w:ascii="Times New Roman" w:hAnsi="Times New Roman"/>
          <w:sz w:val="20"/>
          <w:szCs w:val="20"/>
        </w:rPr>
        <w:t xml:space="preserve"> пролиферации с нарушением дифференцировки </w:t>
      </w:r>
      <w:proofErr w:type="spellStart"/>
      <w:r w:rsidR="006F08E1" w:rsidRPr="00996402">
        <w:rPr>
          <w:rFonts w:ascii="Times New Roman" w:hAnsi="Times New Roman"/>
          <w:sz w:val="20"/>
          <w:szCs w:val="20"/>
        </w:rPr>
        <w:t>кератиноцитов</w:t>
      </w:r>
      <w:proofErr w:type="spellEnd"/>
      <w:r w:rsidR="006F08E1" w:rsidRPr="00996402">
        <w:rPr>
          <w:rFonts w:ascii="Times New Roman" w:hAnsi="Times New Roman"/>
          <w:sz w:val="20"/>
          <w:szCs w:val="20"/>
        </w:rPr>
        <w:t xml:space="preserve">, расширению сосудов, пролиферации и кумуляции нейтрофилов и Т-лимфоцитов. Активация Т-клеток является ключевым событием в каскаде взаимодействий клеток воспалительного инфильтрата, кровеносных сосудов и </w:t>
      </w:r>
      <w:proofErr w:type="spellStart"/>
      <w:r w:rsidR="006F08E1" w:rsidRPr="00996402">
        <w:rPr>
          <w:rFonts w:ascii="Times New Roman" w:hAnsi="Times New Roman"/>
          <w:sz w:val="20"/>
          <w:szCs w:val="20"/>
        </w:rPr>
        <w:t>кератиноцитов</w:t>
      </w:r>
      <w:proofErr w:type="spellEnd"/>
      <w:r w:rsidR="006F08E1" w:rsidRPr="00996402">
        <w:rPr>
          <w:rFonts w:ascii="Times New Roman" w:hAnsi="Times New Roman"/>
          <w:sz w:val="20"/>
          <w:szCs w:val="20"/>
        </w:rPr>
        <w:t>» [3, с. 33].</w:t>
      </w:r>
      <w:r w:rsidR="0064614F" w:rsidRPr="00996402">
        <w:rPr>
          <w:rFonts w:ascii="Times New Roman" w:hAnsi="Times New Roman"/>
          <w:sz w:val="20"/>
          <w:szCs w:val="20"/>
        </w:rPr>
        <w:t xml:space="preserve"> </w:t>
      </w:r>
    </w:p>
    <w:p w:rsidR="0064614F" w:rsidRPr="00996402" w:rsidRDefault="0064614F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 xml:space="preserve">Исследование особенности иммунного статуса у больных псориазом в зависимости от возраста, длительности псориаза и течения </w:t>
      </w:r>
      <w:proofErr w:type="spellStart"/>
      <w:r w:rsidRPr="00996402">
        <w:rPr>
          <w:rFonts w:ascii="Times New Roman" w:hAnsi="Times New Roman"/>
          <w:sz w:val="20"/>
          <w:szCs w:val="20"/>
        </w:rPr>
        <w:t>псориатической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болезни по нашему мнению позволят дополнить современное представление о патогенезе данного заболевания. </w:t>
      </w:r>
    </w:p>
    <w:p w:rsidR="0064614F" w:rsidRPr="00996402" w:rsidRDefault="0064614F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 xml:space="preserve">При наблюдении изменений иммунитета мы изучали изменения показателей клеточного и гуморального иммунитета у 54 больных псориазом в зависимости от возраста больных, давности заболевания и частоты рецидивов. </w:t>
      </w:r>
    </w:p>
    <w:p w:rsidR="0064614F" w:rsidRPr="00996402" w:rsidRDefault="0064614F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>Методы исследования. Показатели клеточного иммунитета включали определение содержания Т-, В-лимфоцитов, Т-хелперов и Т-</w:t>
      </w:r>
      <w:proofErr w:type="spellStart"/>
      <w:r w:rsidRPr="00996402">
        <w:rPr>
          <w:rFonts w:ascii="Times New Roman" w:hAnsi="Times New Roman"/>
          <w:sz w:val="20"/>
          <w:szCs w:val="20"/>
        </w:rPr>
        <w:t>супрессоров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, натуральных киллеров (NK-клеток с фенотипом CD16 + и CD56 +), цитокинов (ИФН-α, ИФН-γ, ИЛ-2 и ИЛ-4). Состояние гуморального звена иммунитета оценивали по уровню ЦИК. Также изучали количественное содержание в сыворотке крови иммуноглобулинов А, М, G.  Для идентификации различных </w:t>
      </w:r>
      <w:proofErr w:type="spellStart"/>
      <w:r w:rsidRPr="00996402">
        <w:rPr>
          <w:rFonts w:ascii="Times New Roman" w:hAnsi="Times New Roman"/>
          <w:sz w:val="20"/>
          <w:szCs w:val="20"/>
        </w:rPr>
        <w:t>субпопуляций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Т-лимфоцитов использовали ЛЦТ. Для определения общего количества лимфоцитов применяли коммерческие наборы МКАТ («</w:t>
      </w:r>
      <w:proofErr w:type="spellStart"/>
      <w:r w:rsidRPr="00996402">
        <w:rPr>
          <w:rFonts w:ascii="Times New Roman" w:hAnsi="Times New Roman"/>
          <w:sz w:val="20"/>
          <w:szCs w:val="20"/>
        </w:rPr>
        <w:t>МедБиоСпектр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», РФ - Москва). Для определения уровня ЦИК использовали метод светового рассеивания вследствие преципитации комплексов антиген-антитело с последующим спектрофотометрическим определением оптической плотности преципитата. Определение содержания </w:t>
      </w:r>
      <w:proofErr w:type="spellStart"/>
      <w:r w:rsidRPr="00996402">
        <w:rPr>
          <w:rFonts w:ascii="Times New Roman" w:hAnsi="Times New Roman"/>
          <w:sz w:val="20"/>
          <w:szCs w:val="20"/>
        </w:rPr>
        <w:t>IgG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96402">
        <w:rPr>
          <w:rFonts w:ascii="Times New Roman" w:hAnsi="Times New Roman"/>
          <w:sz w:val="20"/>
          <w:szCs w:val="20"/>
        </w:rPr>
        <w:t>IgA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96402">
        <w:rPr>
          <w:rFonts w:ascii="Times New Roman" w:hAnsi="Times New Roman"/>
          <w:sz w:val="20"/>
          <w:szCs w:val="20"/>
        </w:rPr>
        <w:t>IgM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в сыворотке крови осуществляли методом простой радиальной </w:t>
      </w:r>
      <w:proofErr w:type="spellStart"/>
      <w:r w:rsidRPr="00996402">
        <w:rPr>
          <w:rFonts w:ascii="Times New Roman" w:hAnsi="Times New Roman"/>
          <w:sz w:val="20"/>
          <w:szCs w:val="20"/>
        </w:rPr>
        <w:t>иммунодиффузии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с использованием моноспецифических сывороток против иммуноглобулинов человека производства НИИ эпидемиологии и микробиологии (Россия, Нижний Новгород). Интерфероны изучали с помощью ИФА. Определение цитокинов проводили на иммуноферментном анализаторе фирмы «</w:t>
      </w:r>
      <w:proofErr w:type="spellStart"/>
      <w:r w:rsidRPr="00996402">
        <w:rPr>
          <w:rFonts w:ascii="Times New Roman" w:hAnsi="Times New Roman"/>
          <w:sz w:val="20"/>
          <w:szCs w:val="20"/>
        </w:rPr>
        <w:t>Sanofi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</w:rPr>
        <w:t>Diagnostics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</w:rPr>
        <w:t>Paster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» PR 2100 (Франция). Концентрацию α-и γ-ИФН изучали с помощью тест-систем производства НПО «Диагностические системы» (РФ, Н. Новгород), а уровень ИЛ-2 и ИЛ-4 - с использованием наборов производства «Протеиновый контур» (РФ, СПб). </w:t>
      </w:r>
    </w:p>
    <w:p w:rsidR="0027723E" w:rsidRPr="00996402" w:rsidRDefault="006F08E1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 xml:space="preserve">Результаты исследования. </w:t>
      </w:r>
      <w:r w:rsidR="0064614F" w:rsidRPr="00996402">
        <w:rPr>
          <w:rFonts w:ascii="Times New Roman" w:hAnsi="Times New Roman"/>
          <w:sz w:val="20"/>
          <w:szCs w:val="20"/>
        </w:rPr>
        <w:t xml:space="preserve">Исследование иммунитета в зависимости от возраста пациентов представлено в таблице 1. </w:t>
      </w:r>
    </w:p>
    <w:p w:rsidR="0027723E" w:rsidRPr="00996402" w:rsidRDefault="0027723E" w:rsidP="00996402">
      <w:pPr>
        <w:pStyle w:val="4"/>
        <w:spacing w:before="0"/>
        <w:ind w:firstLine="284"/>
        <w:jc w:val="right"/>
        <w:rPr>
          <w:rFonts w:ascii="Times New Roman" w:hAnsi="Times New Roman"/>
          <w:color w:val="auto"/>
          <w:sz w:val="20"/>
          <w:szCs w:val="20"/>
          <w:lang w:val="uk-UA"/>
        </w:rPr>
      </w:pPr>
      <w:proofErr w:type="spellStart"/>
      <w:r w:rsidRPr="00996402">
        <w:rPr>
          <w:rFonts w:ascii="Times New Roman" w:hAnsi="Times New Roman"/>
          <w:color w:val="auto"/>
          <w:sz w:val="20"/>
          <w:szCs w:val="20"/>
          <w:lang w:val="uk-UA"/>
        </w:rPr>
        <w:t>Таблица</w:t>
      </w:r>
      <w:proofErr w:type="spellEnd"/>
      <w:r w:rsidRPr="00996402">
        <w:rPr>
          <w:rFonts w:ascii="Times New Roman" w:hAnsi="Times New Roman"/>
          <w:color w:val="auto"/>
          <w:sz w:val="20"/>
          <w:szCs w:val="20"/>
          <w:lang w:val="uk-UA"/>
        </w:rPr>
        <w:t xml:space="preserve"> 1</w:t>
      </w:r>
    </w:p>
    <w:p w:rsidR="0027723E" w:rsidRPr="00996402" w:rsidRDefault="0027723E" w:rsidP="00996402">
      <w:pPr>
        <w:pStyle w:val="4"/>
        <w:spacing w:before="0"/>
        <w:ind w:firstLine="284"/>
        <w:jc w:val="center"/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</w:pP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Показатели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(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М±m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)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иммунной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системы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больных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псориазом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в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зависимости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от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возраста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пациентов</w:t>
      </w:r>
      <w:proofErr w:type="spellEnd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9"/>
        <w:gridCol w:w="992"/>
        <w:gridCol w:w="1134"/>
        <w:gridCol w:w="1276"/>
        <w:gridCol w:w="1418"/>
      </w:tblGrid>
      <w:tr w:rsidR="0027723E" w:rsidRPr="00996402" w:rsidTr="00996402">
        <w:trPr>
          <w:cantSplit/>
          <w:trHeight w:val="964"/>
          <w:jc w:val="center"/>
        </w:trPr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Показатель</w:t>
            </w:r>
            <w:proofErr w:type="spellEnd"/>
          </w:p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Возраст пациентов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Группа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контроля, 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n=20</w:t>
            </w:r>
          </w:p>
        </w:tc>
      </w:tr>
      <w:tr w:rsidR="0027723E" w:rsidRPr="00996402" w:rsidTr="00996402">
        <w:trPr>
          <w:cantSplit/>
          <w:trHeight w:val="751"/>
          <w:jc w:val="center"/>
        </w:trPr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18-30 лет</w:t>
            </w:r>
          </w:p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n=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31-50 лет</w:t>
            </w:r>
          </w:p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n=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51 и старше</w:t>
            </w:r>
          </w:p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n=21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23E" w:rsidRPr="00996402" w:rsidTr="00996402">
        <w:trPr>
          <w:trHeight w:val="765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3+лимфоциты,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55,4±1,3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51,7±1,3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49,0±2,3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59,7±1,3</w:t>
            </w:r>
          </w:p>
        </w:tc>
      </w:tr>
      <w:tr w:rsidR="0027723E" w:rsidRPr="00996402" w:rsidTr="00996402">
        <w:trPr>
          <w:trHeight w:val="63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4+лимфоциты,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30,2±0,8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28,0±0,7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22,6±1,1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30,0±0,9</w:t>
            </w:r>
          </w:p>
        </w:tc>
      </w:tr>
      <w:tr w:rsidR="0027723E" w:rsidRPr="00996402" w:rsidTr="00996402">
        <w:trPr>
          <w:trHeight w:val="63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8+лимфоциты,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17,0±0,7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17,4±1,5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23,1±1,7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16,6±0,5</w:t>
            </w:r>
          </w:p>
        </w:tc>
      </w:tr>
      <w:tr w:rsidR="0027723E" w:rsidRPr="00996402" w:rsidTr="00996402">
        <w:trPr>
          <w:trHeight w:val="63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22+лимфоциты,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11,1±0,6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10,2±0,6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8,5±0,8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10,8±0,7</w:t>
            </w:r>
          </w:p>
        </w:tc>
      </w:tr>
      <w:tr w:rsidR="0027723E" w:rsidRPr="00996402" w:rsidTr="00996402">
        <w:trPr>
          <w:trHeight w:val="63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16+лимфоциты,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16,2±0,8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14,2±0,8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13,2±0,8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</w:rPr>
              <w:t>1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  <w:r w:rsidRPr="007B0125">
              <w:rPr>
                <w:rFonts w:ascii="Times New Roman" w:hAnsi="Times New Roman"/>
                <w:sz w:val="16"/>
                <w:szCs w:val="16"/>
              </w:rPr>
              <w:t>,9±2,30</w:t>
            </w:r>
          </w:p>
        </w:tc>
      </w:tr>
      <w:tr w:rsidR="0027723E" w:rsidRPr="00996402" w:rsidTr="00996402">
        <w:trPr>
          <w:trHeight w:val="63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56+лимфоциты,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16,7±1,6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15,2±1,7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12,6±0,6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</w:rPr>
              <w:t>17,3±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7B0125">
              <w:rPr>
                <w:rFonts w:ascii="Times New Roman" w:hAnsi="Times New Roman"/>
                <w:sz w:val="16"/>
                <w:szCs w:val="16"/>
              </w:rPr>
              <w:t>,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45</w:t>
            </w:r>
          </w:p>
        </w:tc>
      </w:tr>
      <w:tr w:rsidR="0027723E" w:rsidRPr="00996402" w:rsidTr="00996402">
        <w:trPr>
          <w:trHeight w:val="63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ИФН-α,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пг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/мл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5,38±0,6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4,3±0,7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3,28±0,4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5,74±1,1</w:t>
            </w:r>
          </w:p>
        </w:tc>
      </w:tr>
      <w:tr w:rsidR="0027723E" w:rsidRPr="00996402" w:rsidTr="00996402">
        <w:trPr>
          <w:trHeight w:val="63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ИФН-γ,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пг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/мл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81,8±2,9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51,2±1,5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31,8±1,9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3E" w:rsidRPr="007B0125" w:rsidRDefault="0027723E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82,4±7,9</w:t>
            </w:r>
          </w:p>
        </w:tc>
      </w:tr>
      <w:tr w:rsidR="0027723E" w:rsidRPr="00996402" w:rsidTr="00996402">
        <w:trPr>
          <w:trHeight w:val="63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ИЛ-4,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пг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/мл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28,2±3,7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34,6±5,2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58,2±4,7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3E" w:rsidRPr="007B0125" w:rsidRDefault="0027723E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22,7±3,4</w:t>
            </w:r>
          </w:p>
        </w:tc>
      </w:tr>
      <w:tr w:rsidR="0027723E" w:rsidRPr="00996402" w:rsidTr="00996402">
        <w:trPr>
          <w:trHeight w:val="63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ИЛ-2,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пг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/мл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25,6±2,4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17,8±1,8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15,7±1,4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</w:rPr>
              <w:t>28,3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±2,6</w:t>
            </w:r>
          </w:p>
        </w:tc>
      </w:tr>
      <w:tr w:rsidR="0027723E" w:rsidRPr="00996402" w:rsidTr="00996402">
        <w:trPr>
          <w:trHeight w:val="63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IgA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, г/л</w:t>
            </w:r>
          </w:p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2,0±0,1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1,8±0,3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2,2±0,2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3,3±0,3</w:t>
            </w:r>
          </w:p>
        </w:tc>
      </w:tr>
      <w:tr w:rsidR="0027723E" w:rsidRPr="00996402" w:rsidTr="00996402">
        <w:trPr>
          <w:trHeight w:val="63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IgM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, г/л</w:t>
            </w:r>
          </w:p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1,5±0,05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1,4±1,2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1,7±0,4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1,4±0,2</w:t>
            </w:r>
          </w:p>
        </w:tc>
      </w:tr>
      <w:tr w:rsidR="0027723E" w:rsidRPr="00996402" w:rsidTr="00996402">
        <w:trPr>
          <w:trHeight w:val="63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IgG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, г/л</w:t>
            </w:r>
          </w:p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12,2±1,4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14,0±0,8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14,2±1,6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10,6±0,7</w:t>
            </w:r>
          </w:p>
        </w:tc>
      </w:tr>
      <w:tr w:rsidR="0027723E" w:rsidRPr="00996402" w:rsidTr="00996402">
        <w:trPr>
          <w:trHeight w:val="638"/>
          <w:jc w:val="center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ЦИК,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усл.ед</w:t>
            </w:r>
            <w:proofErr w:type="spellEnd"/>
          </w:p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61,2±2,8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86,5±4,3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94,2±10,6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E" w:rsidRPr="007B0125" w:rsidRDefault="0027723E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56,2±5,0</w:t>
            </w:r>
          </w:p>
        </w:tc>
      </w:tr>
    </w:tbl>
    <w:p w:rsidR="0027723E" w:rsidRPr="00996402" w:rsidRDefault="0027723E" w:rsidP="00996402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Примечание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996402">
        <w:rPr>
          <w:rFonts w:ascii="Times New Roman" w:hAnsi="Times New Roman"/>
          <w:sz w:val="20"/>
          <w:szCs w:val="20"/>
          <w:vertAlign w:val="superscript"/>
          <w:lang w:val="uk-UA"/>
        </w:rPr>
        <w:t>1</w:t>
      </w:r>
      <w:r w:rsidRPr="00996402">
        <w:rPr>
          <w:rFonts w:ascii="Times New Roman" w:hAnsi="Times New Roman"/>
          <w:sz w:val="20"/>
          <w:szCs w:val="20"/>
          <w:lang w:val="uk-UA"/>
        </w:rPr>
        <w:t xml:space="preserve"> –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вероятная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разница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от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аналогичного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показателя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здоровых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доноров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(р</w:t>
      </w:r>
      <w:r w:rsidRPr="00996402">
        <w:rPr>
          <w:rFonts w:ascii="Times New Roman" w:hAnsi="Times New Roman"/>
          <w:sz w:val="20"/>
          <w:szCs w:val="20"/>
        </w:rPr>
        <w:t>&lt;0,05)</w:t>
      </w:r>
      <w:r w:rsidRPr="00996402"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27723E" w:rsidRPr="00996402" w:rsidRDefault="0027723E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 xml:space="preserve">При исследовании иммунологических показателей в зависимости от возраста установлено отклонение в сторону снижения с увеличением возраста пациентов СD3 + на 18%, СD4 + на 25%, СD22 + на 21%, СD16 + на 22% и СD56 + лимфоцитов на 27% и увеличение СD8 + лимфоцитов на 39 %. Снижение ИЛ-2 на 45%, ИФН-α на 40% и ИФН-γ на 61%, а также увеличение содержания ИЛ-4 на 156%. Снижение содержания </w:t>
      </w:r>
      <w:proofErr w:type="spellStart"/>
      <w:r w:rsidRPr="00996402">
        <w:rPr>
          <w:rFonts w:ascii="Times New Roman" w:hAnsi="Times New Roman"/>
          <w:sz w:val="20"/>
          <w:szCs w:val="20"/>
        </w:rPr>
        <w:t>IgA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, увеличение </w:t>
      </w:r>
      <w:proofErr w:type="spellStart"/>
      <w:r w:rsidRPr="00996402">
        <w:rPr>
          <w:rFonts w:ascii="Times New Roman" w:hAnsi="Times New Roman"/>
          <w:sz w:val="20"/>
          <w:szCs w:val="20"/>
        </w:rPr>
        <w:t>IgG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и ЦИК.</w:t>
      </w:r>
    </w:p>
    <w:p w:rsidR="0064614F" w:rsidRPr="00996402" w:rsidRDefault="0064614F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>Далее были проанализированы иммунологические показатели в зависимости от давности псориаза (таблица 2).</w:t>
      </w:r>
    </w:p>
    <w:p w:rsidR="00A56379" w:rsidRPr="00996402" w:rsidRDefault="00A56379" w:rsidP="00996402">
      <w:pPr>
        <w:pStyle w:val="4"/>
        <w:spacing w:before="0"/>
        <w:ind w:firstLine="284"/>
        <w:jc w:val="right"/>
        <w:rPr>
          <w:rFonts w:ascii="Times New Roman" w:hAnsi="Times New Roman"/>
          <w:color w:val="auto"/>
          <w:sz w:val="20"/>
          <w:szCs w:val="20"/>
          <w:lang w:val="uk-UA"/>
        </w:rPr>
      </w:pPr>
      <w:proofErr w:type="spellStart"/>
      <w:r w:rsidRPr="00996402">
        <w:rPr>
          <w:rFonts w:ascii="Times New Roman" w:hAnsi="Times New Roman"/>
          <w:color w:val="auto"/>
          <w:sz w:val="20"/>
          <w:szCs w:val="20"/>
          <w:lang w:val="uk-UA"/>
        </w:rPr>
        <w:t>Таблица</w:t>
      </w:r>
      <w:proofErr w:type="spellEnd"/>
      <w:r w:rsidRPr="00996402">
        <w:rPr>
          <w:rFonts w:ascii="Times New Roman" w:hAnsi="Times New Roman"/>
          <w:color w:val="auto"/>
          <w:sz w:val="20"/>
          <w:szCs w:val="20"/>
          <w:lang w:val="uk-UA"/>
        </w:rPr>
        <w:t xml:space="preserve"> 2</w:t>
      </w:r>
    </w:p>
    <w:p w:rsidR="00A56379" w:rsidRPr="00996402" w:rsidRDefault="00A56379" w:rsidP="00996402">
      <w:pPr>
        <w:pStyle w:val="4"/>
        <w:spacing w:before="0"/>
        <w:ind w:firstLine="284"/>
        <w:jc w:val="center"/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</w:pP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Показатели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(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М±m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)</w:t>
      </w:r>
      <w:r w:rsidRPr="00996402">
        <w:rPr>
          <w:rFonts w:ascii="Times New Roman" w:hAnsi="Times New Roman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иммунной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системы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больных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псориазом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в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зависимости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от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давности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заболевания</w:t>
      </w:r>
      <w:proofErr w:type="spellEnd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088"/>
        <w:gridCol w:w="1134"/>
        <w:gridCol w:w="1559"/>
      </w:tblGrid>
      <w:tr w:rsidR="00A56379" w:rsidRPr="00996402" w:rsidTr="00996402">
        <w:trPr>
          <w:cantSplit/>
          <w:trHeight w:val="964"/>
          <w:jc w:val="center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Показатель</w:t>
            </w:r>
            <w:proofErr w:type="spellEnd"/>
          </w:p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uk-UA"/>
              </w:rPr>
            </w:pPr>
            <w:proofErr w:type="spellStart"/>
            <w:r w:rsidRPr="007B0125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uk-UA"/>
              </w:rPr>
              <w:t>Давность</w:t>
            </w:r>
            <w:proofErr w:type="spellEnd"/>
            <w:r w:rsidRPr="007B0125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B0125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uk-UA"/>
              </w:rPr>
              <w:t>заболевания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Группа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контроля, 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n=20</w:t>
            </w:r>
          </w:p>
        </w:tc>
      </w:tr>
      <w:tr w:rsidR="00A56379" w:rsidRPr="00996402" w:rsidTr="00996402">
        <w:trPr>
          <w:cantSplit/>
          <w:trHeight w:val="725"/>
          <w:jc w:val="center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1-5 лет</w:t>
            </w:r>
          </w:p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n=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6-15 лет</w:t>
            </w:r>
          </w:p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n=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16 и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больше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лет</w:t>
            </w:r>
          </w:p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n=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6379" w:rsidRPr="00996402" w:rsidTr="00996402">
        <w:trPr>
          <w:trHeight w:val="69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56,7±1,4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50,7±1,6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50,1±2,1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59,7±1,3</w:t>
            </w:r>
          </w:p>
        </w:tc>
      </w:tr>
      <w:tr w:rsidR="00A56379" w:rsidRPr="00996402" w:rsidTr="00996402">
        <w:trPr>
          <w:trHeight w:val="70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4+лимфоциты,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29,6±0,8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26,1±0,7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23,1±1,1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30,0±0,9</w:t>
            </w:r>
          </w:p>
        </w:tc>
      </w:tr>
      <w:tr w:rsidR="00A56379" w:rsidRPr="00996402" w:rsidTr="00996402">
        <w:trPr>
          <w:trHeight w:val="70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8+лимфоциты,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16,8±0,4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18,6±1,5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22,8±1,7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16,6±0,5</w:t>
            </w:r>
          </w:p>
        </w:tc>
      </w:tr>
      <w:tr w:rsidR="00A56379" w:rsidRPr="00996402" w:rsidTr="00996402">
        <w:trPr>
          <w:trHeight w:val="70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22+лимфоциты,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10,4±0,6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10,0±0,6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8,2±0,8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10,8±0,7</w:t>
            </w:r>
          </w:p>
        </w:tc>
      </w:tr>
      <w:tr w:rsidR="00A56379" w:rsidRPr="00996402" w:rsidTr="00996402">
        <w:trPr>
          <w:trHeight w:val="70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15,6±0,8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13,2±0,8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12,9±0,8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</w:rPr>
              <w:t>1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  <w:r w:rsidRPr="007B0125">
              <w:rPr>
                <w:rFonts w:ascii="Times New Roman" w:hAnsi="Times New Roman"/>
                <w:sz w:val="16"/>
                <w:szCs w:val="16"/>
              </w:rPr>
              <w:t>,9±2,30</w:t>
            </w:r>
          </w:p>
        </w:tc>
      </w:tr>
      <w:tr w:rsidR="00A56379" w:rsidRPr="00996402" w:rsidTr="00996402">
        <w:trPr>
          <w:trHeight w:val="70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56+лимфоциты,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16,9±1,6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14,2±1,7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12,8±0,6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</w:rPr>
              <w:t>17,3±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7B0125">
              <w:rPr>
                <w:rFonts w:ascii="Times New Roman" w:hAnsi="Times New Roman"/>
                <w:sz w:val="16"/>
                <w:szCs w:val="16"/>
              </w:rPr>
              <w:t>,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45</w:t>
            </w:r>
          </w:p>
        </w:tc>
      </w:tr>
      <w:tr w:rsidR="00A56379" w:rsidRPr="00996402" w:rsidTr="00996402">
        <w:trPr>
          <w:trHeight w:val="70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ИФН-α,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пг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/мл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4,28±0,4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3,72±0,4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3,22±0,4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5,74±1,1</w:t>
            </w:r>
          </w:p>
        </w:tc>
      </w:tr>
      <w:tr w:rsidR="00A56379" w:rsidRPr="00996402" w:rsidTr="00996402">
        <w:trPr>
          <w:trHeight w:val="70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ИФН-γ,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пг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/мл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79,8±2,9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54,2±1,5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30,8±1,9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82,4±7,9</w:t>
            </w:r>
          </w:p>
        </w:tc>
      </w:tr>
      <w:tr w:rsidR="00A56379" w:rsidRPr="00996402" w:rsidTr="00996402">
        <w:trPr>
          <w:trHeight w:val="70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ИЛ-4,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пг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/мл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29,2±3,7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32,6±5,2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59,2±4,7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22,7±3,4</w:t>
            </w:r>
          </w:p>
        </w:tc>
      </w:tr>
      <w:tr w:rsidR="00A56379" w:rsidRPr="00996402" w:rsidTr="00996402">
        <w:trPr>
          <w:trHeight w:val="70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ИЛ-2,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пг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/мл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26,6±2,4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16,8±1,8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14,3±1,4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</w:rPr>
              <w:t>28,3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±2,6</w:t>
            </w:r>
          </w:p>
        </w:tc>
      </w:tr>
      <w:tr w:rsidR="00A56379" w:rsidRPr="00996402" w:rsidTr="00996402">
        <w:trPr>
          <w:trHeight w:val="70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IgA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, г/л</w:t>
            </w:r>
          </w:p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2,1±0,1 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1,9±0,3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1,9±0,2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</w:rPr>
              <w:t>3,3±0,3</w:t>
            </w:r>
          </w:p>
        </w:tc>
      </w:tr>
      <w:tr w:rsidR="00A56379" w:rsidRPr="00996402" w:rsidTr="00996402">
        <w:trPr>
          <w:trHeight w:val="70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IgM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, г/л</w:t>
            </w:r>
          </w:p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1,5±0,05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1,4±1,2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1,7±0,41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</w:rPr>
              <w:t>1,4±0,2</w:t>
            </w:r>
          </w:p>
        </w:tc>
      </w:tr>
      <w:tr w:rsidR="00A56379" w:rsidRPr="00996402" w:rsidTr="00996402">
        <w:trPr>
          <w:trHeight w:val="70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IgG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, г/л</w:t>
            </w:r>
          </w:p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11,2±1,4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14,5±0,8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16,1±1,6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</w:rPr>
              <w:t>10,6±0,7</w:t>
            </w:r>
          </w:p>
        </w:tc>
      </w:tr>
      <w:tr w:rsidR="00A56379" w:rsidRPr="00996402" w:rsidTr="00996402">
        <w:trPr>
          <w:trHeight w:val="70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ЦИК,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усл.ед</w:t>
            </w:r>
            <w:proofErr w:type="spellEnd"/>
          </w:p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63,5±2,8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84,2±4,3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92,8±10,6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56,2±5,0</w:t>
            </w:r>
          </w:p>
        </w:tc>
      </w:tr>
    </w:tbl>
    <w:p w:rsidR="00A56379" w:rsidRPr="00996402" w:rsidRDefault="00A56379" w:rsidP="00996402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Примечание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996402">
        <w:rPr>
          <w:rFonts w:ascii="Times New Roman" w:hAnsi="Times New Roman"/>
          <w:sz w:val="20"/>
          <w:szCs w:val="20"/>
          <w:vertAlign w:val="superscript"/>
          <w:lang w:val="uk-UA"/>
        </w:rPr>
        <w:t>1</w:t>
      </w:r>
      <w:r w:rsidRPr="00996402">
        <w:rPr>
          <w:rFonts w:ascii="Times New Roman" w:hAnsi="Times New Roman"/>
          <w:sz w:val="20"/>
          <w:szCs w:val="20"/>
          <w:lang w:val="uk-UA"/>
        </w:rPr>
        <w:t xml:space="preserve"> –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вероятная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разница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от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аналогичного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показателя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здоровых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доноров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(р</w:t>
      </w:r>
      <w:r w:rsidRPr="00996402">
        <w:rPr>
          <w:rFonts w:ascii="Times New Roman" w:hAnsi="Times New Roman"/>
          <w:sz w:val="20"/>
          <w:szCs w:val="20"/>
        </w:rPr>
        <w:t>&lt;0,05)</w:t>
      </w:r>
      <w:r w:rsidRPr="00996402"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A56379" w:rsidRPr="00996402" w:rsidRDefault="00A56379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Исследования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зависимости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от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продолжительности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псориаза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установило: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достоверное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снижение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уровня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СD3 + на 16%, СD4 + на 23%, СD16 + на 24% и СD56 + на 26% и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увеличение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СD8 +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лимфоцитов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на 37%,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снижение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ИЛ-2 на 49%, ИФН-α на 44% и ИФН-γ на 62%, а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также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увеличение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содержания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ИЛ-4 на 161% у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больных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псориазом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с ростом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продолжительности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болезни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более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15 лет.</w:t>
      </w:r>
    </w:p>
    <w:p w:rsidR="0064614F" w:rsidRPr="00996402" w:rsidRDefault="0064614F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 xml:space="preserve">Далее нами были проанализированы изменения показателей иммунитета в зависимости от частоты рецидивов (таблица 3). </w:t>
      </w:r>
    </w:p>
    <w:p w:rsidR="00A56379" w:rsidRPr="00996402" w:rsidRDefault="00A56379" w:rsidP="00996402">
      <w:pPr>
        <w:spacing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  <w:lang w:val="uk-UA"/>
        </w:rPr>
      </w:pPr>
      <w:proofErr w:type="spellStart"/>
      <w:r w:rsidRPr="00996402">
        <w:rPr>
          <w:rFonts w:ascii="Times New Roman" w:hAnsi="Times New Roman"/>
          <w:b/>
          <w:i/>
          <w:sz w:val="20"/>
          <w:szCs w:val="20"/>
          <w:lang w:val="uk-UA"/>
        </w:rPr>
        <w:t>Таблица</w:t>
      </w:r>
      <w:proofErr w:type="spellEnd"/>
      <w:r w:rsidRPr="00996402">
        <w:rPr>
          <w:rFonts w:ascii="Times New Roman" w:hAnsi="Times New Roman"/>
          <w:b/>
          <w:i/>
          <w:sz w:val="20"/>
          <w:szCs w:val="20"/>
          <w:lang w:val="uk-UA"/>
        </w:rPr>
        <w:t xml:space="preserve"> 3</w:t>
      </w:r>
    </w:p>
    <w:p w:rsidR="00A56379" w:rsidRPr="00996402" w:rsidRDefault="00A56379" w:rsidP="00996402">
      <w:pPr>
        <w:pStyle w:val="4"/>
        <w:spacing w:before="0"/>
        <w:ind w:firstLine="284"/>
        <w:jc w:val="both"/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</w:pP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Показатели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(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М±m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)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иммунной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системы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больных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псориазом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в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зависимости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от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частоты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рецидивов</w:t>
      </w:r>
      <w:proofErr w:type="spellEnd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псориаза</w:t>
      </w:r>
      <w:proofErr w:type="spellEnd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2"/>
        <w:gridCol w:w="1536"/>
        <w:gridCol w:w="1393"/>
        <w:gridCol w:w="1159"/>
        <w:gridCol w:w="1417"/>
      </w:tblGrid>
      <w:tr w:rsidR="00A56379" w:rsidRPr="00996402" w:rsidTr="00996402">
        <w:trPr>
          <w:cantSplit/>
          <w:trHeight w:val="964"/>
          <w:jc w:val="center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Показатель</w:t>
            </w:r>
            <w:proofErr w:type="spellEnd"/>
          </w:p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uk-UA"/>
              </w:rPr>
              <w:t xml:space="preserve">Частота </w:t>
            </w:r>
            <w:proofErr w:type="spellStart"/>
            <w:r w:rsidRPr="007B0125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lang w:val="uk-UA"/>
              </w:rPr>
              <w:t>рецидивов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Группа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контроля, 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n=20</w:t>
            </w:r>
          </w:p>
        </w:tc>
      </w:tr>
      <w:tr w:rsidR="00A56379" w:rsidRPr="00996402" w:rsidTr="00996402">
        <w:trPr>
          <w:cantSplit/>
          <w:trHeight w:val="751"/>
          <w:jc w:val="center"/>
        </w:trPr>
        <w:tc>
          <w:tcPr>
            <w:tcW w:w="1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 раз в 3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года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</w:p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n=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 раз в 2 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года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</w:p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n=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ежегодно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</w:p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n=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6379" w:rsidRPr="00996402" w:rsidTr="00996402">
        <w:trPr>
          <w:trHeight w:val="765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3+лимфоциты, %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53,4±1,3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51,7±1,3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52,1±2,3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59,7±1,3</w:t>
            </w:r>
          </w:p>
        </w:tc>
      </w:tr>
      <w:tr w:rsidR="00A56379" w:rsidRPr="00996402" w:rsidTr="00996402">
        <w:trPr>
          <w:trHeight w:val="63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4+лимфоциты, %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29,7±0,8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27,6±0,7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23,4±1,1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30,0±0,9</w:t>
            </w:r>
          </w:p>
        </w:tc>
      </w:tr>
      <w:tr w:rsidR="00A56379" w:rsidRPr="00996402" w:rsidTr="00996402">
        <w:trPr>
          <w:trHeight w:val="63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8+лимфоциты, %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16,8±0,7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18,6±1,5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22,6±1,7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16,6±0,5</w:t>
            </w:r>
          </w:p>
        </w:tc>
      </w:tr>
      <w:tr w:rsidR="00A56379" w:rsidRPr="00996402" w:rsidTr="00996402">
        <w:trPr>
          <w:trHeight w:val="63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22+лимфоциты, %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11,1±0,6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10,2±0,6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9,5±0,8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10,8±0,7</w:t>
            </w:r>
          </w:p>
        </w:tc>
      </w:tr>
      <w:tr w:rsidR="00A56379" w:rsidRPr="00996402" w:rsidTr="00996402">
        <w:trPr>
          <w:trHeight w:val="63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16+лимфоциты, %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15,2±0,8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14,6±0,8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12,9±0,8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</w:rPr>
              <w:t>1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  <w:r w:rsidRPr="007B0125">
              <w:rPr>
                <w:rFonts w:ascii="Times New Roman" w:hAnsi="Times New Roman"/>
                <w:sz w:val="16"/>
                <w:szCs w:val="16"/>
              </w:rPr>
              <w:t>,9±2,30</w:t>
            </w:r>
          </w:p>
        </w:tc>
      </w:tr>
      <w:tr w:rsidR="00A56379" w:rsidRPr="00996402" w:rsidTr="00996402">
        <w:trPr>
          <w:trHeight w:val="63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С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56+лимфоциты, %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15,9±1,6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15,3±1,7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13,6±0,6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</w:rPr>
              <w:t>17,3±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7B0125">
              <w:rPr>
                <w:rFonts w:ascii="Times New Roman" w:hAnsi="Times New Roman"/>
                <w:sz w:val="16"/>
                <w:szCs w:val="16"/>
              </w:rPr>
              <w:t>,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45</w:t>
            </w:r>
          </w:p>
        </w:tc>
      </w:tr>
      <w:tr w:rsidR="00A56379" w:rsidRPr="00996402" w:rsidTr="00996402">
        <w:trPr>
          <w:trHeight w:val="63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ИФН-α,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пг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/мл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4,8±0,6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4,3±0,7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3,28±0,4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5,74±1,1</w:t>
            </w:r>
          </w:p>
        </w:tc>
      </w:tr>
      <w:tr w:rsidR="00A56379" w:rsidRPr="00996402" w:rsidTr="00996402">
        <w:trPr>
          <w:trHeight w:val="63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ИФН-γ,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пг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/мл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71,8±2,9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45,2±1,5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34,3±1,9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82,4±7,9</w:t>
            </w:r>
          </w:p>
        </w:tc>
      </w:tr>
      <w:tr w:rsidR="00A56379" w:rsidRPr="00996402" w:rsidTr="00996402">
        <w:trPr>
          <w:trHeight w:val="63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ИЛ-4,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пг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/мл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30,2±3,7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32,6±5,2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56,2±4,7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79" w:rsidRPr="007B0125" w:rsidRDefault="00A56379" w:rsidP="009964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22,7±3,4</w:t>
            </w:r>
          </w:p>
        </w:tc>
      </w:tr>
      <w:tr w:rsidR="00A56379" w:rsidRPr="00996402" w:rsidTr="00996402">
        <w:trPr>
          <w:trHeight w:val="63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ИЛ-2,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пг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/мл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21,6±2,4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18,8±1,8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16,7±1,4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125">
              <w:rPr>
                <w:rFonts w:ascii="Times New Roman" w:hAnsi="Times New Roman"/>
                <w:sz w:val="16"/>
                <w:szCs w:val="16"/>
              </w:rPr>
              <w:t>28,3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±2,6</w:t>
            </w:r>
          </w:p>
        </w:tc>
      </w:tr>
      <w:tr w:rsidR="00A56379" w:rsidRPr="00996402" w:rsidTr="00996402">
        <w:trPr>
          <w:trHeight w:val="63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IgA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, г/л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</w:rPr>
              <w:t>1</w:t>
            </w: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,9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±0,1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2,1±0,3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1,8±0,2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3,3±0,3</w:t>
            </w:r>
          </w:p>
        </w:tc>
      </w:tr>
      <w:tr w:rsidR="00A56379" w:rsidRPr="00996402" w:rsidTr="00996402">
        <w:trPr>
          <w:trHeight w:val="63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IgM</w:t>
            </w:r>
            <w:proofErr w:type="spellEnd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, г/л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1,5±0,05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1,4±1,2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1,7±0,4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1,4±0,2</w:t>
            </w:r>
          </w:p>
        </w:tc>
      </w:tr>
      <w:tr w:rsidR="00A56379" w:rsidRPr="00996402" w:rsidTr="00996402">
        <w:trPr>
          <w:trHeight w:val="63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en-US"/>
              </w:rPr>
              <w:t>IgG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, г/л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7B0125">
              <w:rPr>
                <w:rFonts w:ascii="Times New Roman" w:hAnsi="Times New Roman"/>
                <w:sz w:val="16"/>
                <w:szCs w:val="16"/>
              </w:rPr>
              <w:t>3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7B0125">
              <w:rPr>
                <w:rFonts w:ascii="Times New Roman" w:hAnsi="Times New Roman"/>
                <w:sz w:val="16"/>
                <w:szCs w:val="16"/>
              </w:rPr>
              <w:t>4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±1,4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14,</w:t>
            </w:r>
            <w:r w:rsidRPr="007B0125">
              <w:rPr>
                <w:rFonts w:ascii="Times New Roman" w:hAnsi="Times New Roman"/>
                <w:sz w:val="16"/>
                <w:szCs w:val="16"/>
              </w:rPr>
              <w:t>1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±0,8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7B0125">
              <w:rPr>
                <w:rFonts w:ascii="Times New Roman" w:hAnsi="Times New Roman"/>
                <w:sz w:val="16"/>
                <w:szCs w:val="16"/>
              </w:rPr>
              <w:t>5</w:t>
            </w: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,2±1,6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10,6±0,7</w:t>
            </w:r>
          </w:p>
        </w:tc>
      </w:tr>
      <w:tr w:rsidR="00A56379" w:rsidRPr="00996402" w:rsidTr="00996402">
        <w:trPr>
          <w:trHeight w:val="63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ЦИК, </w:t>
            </w:r>
            <w:proofErr w:type="spellStart"/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усл.ед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69,2±5,8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84,3±4,3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91,2±5,6 </w:t>
            </w:r>
            <w:r w:rsidRPr="007B012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79" w:rsidRPr="007B0125" w:rsidRDefault="00A56379" w:rsidP="009964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B0125">
              <w:rPr>
                <w:rFonts w:ascii="Times New Roman" w:hAnsi="Times New Roman"/>
                <w:sz w:val="16"/>
                <w:szCs w:val="16"/>
                <w:lang w:val="uk-UA"/>
              </w:rPr>
              <w:t>56,2±5,0</w:t>
            </w:r>
          </w:p>
        </w:tc>
      </w:tr>
    </w:tbl>
    <w:p w:rsidR="00A56379" w:rsidRPr="00996402" w:rsidRDefault="00A56379" w:rsidP="00996402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Примечание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996402">
        <w:rPr>
          <w:rFonts w:ascii="Times New Roman" w:hAnsi="Times New Roman"/>
          <w:sz w:val="20"/>
          <w:szCs w:val="20"/>
          <w:vertAlign w:val="superscript"/>
          <w:lang w:val="uk-UA"/>
        </w:rPr>
        <w:t>1</w:t>
      </w:r>
      <w:r w:rsidRPr="00996402">
        <w:rPr>
          <w:rFonts w:ascii="Times New Roman" w:hAnsi="Times New Roman"/>
          <w:sz w:val="20"/>
          <w:szCs w:val="20"/>
          <w:lang w:val="uk-UA"/>
        </w:rPr>
        <w:t xml:space="preserve"> –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вероятная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разница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от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аналогичного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показателя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здоровых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доноров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(р</w:t>
      </w:r>
      <w:r w:rsidRPr="00996402">
        <w:rPr>
          <w:rFonts w:ascii="Times New Roman" w:hAnsi="Times New Roman"/>
          <w:sz w:val="20"/>
          <w:szCs w:val="20"/>
        </w:rPr>
        <w:t>&lt;0,05)</w:t>
      </w:r>
      <w:r w:rsidRPr="00996402"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A56379" w:rsidRPr="00996402" w:rsidRDefault="00A56379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Исследование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зависимости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от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частоты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рецидивов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псориаза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установило: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снижение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уровня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СD3 +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лимфоцитов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на 13%, СD4 + на 22%, СD16 + на 23% и СD56 +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лимфоцитов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на 21% и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увеличение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СD8 +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лимфоцитов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на 36%,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снижение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уровня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ИЛ-2 на 41 %, ИФН-α на 43%, ИФН-γ на 58%, а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также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повышение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уровня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ИЛ-4 на 147% у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больных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псориазом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с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ежегодными</w:t>
      </w:r>
      <w:proofErr w:type="spellEnd"/>
      <w:r w:rsidRPr="00996402">
        <w:rPr>
          <w:rFonts w:ascii="Times New Roman" w:hAnsi="Times New Roman"/>
          <w:sz w:val="20"/>
          <w:szCs w:val="20"/>
          <w:lang w:val="uk-UA"/>
        </w:rPr>
        <w:t xml:space="preserve"> рецидивами.</w:t>
      </w:r>
    </w:p>
    <w:p w:rsidR="0064614F" w:rsidRPr="00996402" w:rsidRDefault="0064614F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 xml:space="preserve">Сопоставление иммунологических нарушений выявило, что снижение уровня CD3 +, CD4 +, CD22 +, CD16 + и CD56 +-лимфоцитов, увеличение CD8 + лимфоцитов, снижение ИФН-α, ИФН-γ, ИЛ-2, увеличение ИЛ-4, снижение </w:t>
      </w:r>
      <w:proofErr w:type="spellStart"/>
      <w:r w:rsidRPr="00996402">
        <w:rPr>
          <w:rFonts w:ascii="Times New Roman" w:hAnsi="Times New Roman"/>
          <w:sz w:val="20"/>
          <w:szCs w:val="20"/>
        </w:rPr>
        <w:t>IgA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, увеличение </w:t>
      </w:r>
      <w:proofErr w:type="spellStart"/>
      <w:r w:rsidRPr="00996402">
        <w:rPr>
          <w:rFonts w:ascii="Times New Roman" w:hAnsi="Times New Roman"/>
          <w:sz w:val="20"/>
          <w:szCs w:val="20"/>
        </w:rPr>
        <w:t>IgМ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96402">
        <w:rPr>
          <w:rFonts w:ascii="Times New Roman" w:hAnsi="Times New Roman"/>
          <w:sz w:val="20"/>
          <w:szCs w:val="20"/>
        </w:rPr>
        <w:t>IgG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и ЦИК наблюдали у больных со средним возрастом 52,4 ± 7,3 года, давностью псориаза 11,8 ± 2,1 года и рецидивами 1,2 ± 0,8 года. Дефицит Т-клеточного иммунитета, снижение СD22 + свидетельствует о частичном иммунодефиците в виде недостаточности клеточного звена иммунитета у больных псориазом. </w:t>
      </w:r>
    </w:p>
    <w:p w:rsidR="0064614F" w:rsidRPr="00996402" w:rsidRDefault="0064614F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 xml:space="preserve">На основании вышеперечисленного можно сделать вывод, что у больных псориазом наблюдалось нарушение иммунологического баланса, которое заключалось в угнетении клеточного звена иммунитета, установлено достоверное снижение относительного количества NK-клеток с фенотипом CD16 + и CD56 +. Также было выявлено достоверное снижение ИФН-γ, ИЛ-2 и ИФН-α, что косвенно свидетельствует об угнетении функциональной активности Т-хелперов 1 типа и истощение функциональных резервов всех иммунокомпетентных клеток. Выявлено повышение сывороточного содержания ИЛ-4, который является основным цитокином, синтезируемый Т-хелперами 2 типа. Наблюдалось увеличение </w:t>
      </w:r>
      <w:proofErr w:type="spellStart"/>
      <w:r w:rsidRPr="00996402">
        <w:rPr>
          <w:rFonts w:ascii="Times New Roman" w:hAnsi="Times New Roman"/>
          <w:sz w:val="20"/>
          <w:szCs w:val="20"/>
        </w:rPr>
        <w:t>IgG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и ЦИК.</w:t>
      </w:r>
    </w:p>
    <w:p w:rsidR="0064614F" w:rsidRPr="00996402" w:rsidRDefault="0064614F" w:rsidP="0099640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4614F" w:rsidRPr="00996402" w:rsidRDefault="0064614F" w:rsidP="0099640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996402">
        <w:rPr>
          <w:rFonts w:ascii="Times New Roman" w:hAnsi="Times New Roman"/>
          <w:sz w:val="20"/>
          <w:szCs w:val="20"/>
          <w:lang w:val="uk-UA"/>
        </w:rPr>
        <w:t xml:space="preserve">Список </w:t>
      </w:r>
      <w:proofErr w:type="spellStart"/>
      <w:r w:rsidRPr="00996402">
        <w:rPr>
          <w:rFonts w:ascii="Times New Roman" w:hAnsi="Times New Roman"/>
          <w:sz w:val="20"/>
          <w:szCs w:val="20"/>
          <w:lang w:val="uk-UA"/>
        </w:rPr>
        <w:t>литературы</w:t>
      </w:r>
      <w:proofErr w:type="spellEnd"/>
      <w:r w:rsidR="00AA4CE0" w:rsidRPr="00996402">
        <w:rPr>
          <w:rFonts w:ascii="Times New Roman" w:hAnsi="Times New Roman"/>
          <w:sz w:val="20"/>
          <w:szCs w:val="20"/>
          <w:lang w:val="uk-UA"/>
        </w:rPr>
        <w:t>:</w:t>
      </w:r>
    </w:p>
    <w:p w:rsidR="0064614F" w:rsidRPr="00996402" w:rsidRDefault="00BE4DDF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  <w:shd w:val="clear" w:color="auto" w:fill="FFFFFF"/>
        </w:rPr>
      </w:pPr>
      <w:r w:rsidRPr="00996402">
        <w:rPr>
          <w:rFonts w:ascii="Times New Roman" w:hAnsi="Times New Roman"/>
          <w:sz w:val="20"/>
          <w:szCs w:val="20"/>
        </w:rPr>
        <w:t>1</w:t>
      </w:r>
      <w:r w:rsidR="0064614F" w:rsidRPr="00996402">
        <w:rPr>
          <w:rFonts w:ascii="Times New Roman" w:hAnsi="Times New Roman"/>
          <w:sz w:val="20"/>
          <w:szCs w:val="20"/>
        </w:rPr>
        <w:t xml:space="preserve">. </w:t>
      </w:r>
      <w:hyperlink r:id="rId5" w:history="1">
        <w:proofErr w:type="spellStart"/>
        <w:r w:rsidR="0064614F" w:rsidRPr="00996402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  <w:shd w:val="clear" w:color="auto" w:fill="FFFFFF"/>
          </w:rPr>
          <w:t>Гринюк</w:t>
        </w:r>
        <w:proofErr w:type="spellEnd"/>
        <w:r w:rsidR="0064614F" w:rsidRPr="00996402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 С. М.</w:t>
        </w:r>
      </w:hyperlink>
      <w:r w:rsidR="0064614F" w:rsidRPr="0099640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64614F" w:rsidRPr="00996402">
        <w:rPr>
          <w:rFonts w:ascii="Times New Roman" w:hAnsi="Times New Roman"/>
          <w:sz w:val="20"/>
          <w:szCs w:val="20"/>
          <w:shd w:val="clear" w:color="auto" w:fill="FFFFFF"/>
        </w:rPr>
        <w:t>Етіопатогенез</w:t>
      </w:r>
      <w:proofErr w:type="spellEnd"/>
      <w:r w:rsidR="0064614F" w:rsidRPr="0099640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64614F" w:rsidRPr="00996402">
        <w:rPr>
          <w:rFonts w:ascii="Times New Roman" w:hAnsi="Times New Roman"/>
          <w:sz w:val="20"/>
          <w:szCs w:val="20"/>
          <w:shd w:val="clear" w:color="auto" w:fill="FFFFFF"/>
        </w:rPr>
        <w:t>псоріазу</w:t>
      </w:r>
      <w:proofErr w:type="spellEnd"/>
      <w:r w:rsidRPr="0099640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614F" w:rsidRPr="00996402">
        <w:rPr>
          <w:rFonts w:ascii="Times New Roman" w:hAnsi="Times New Roman"/>
          <w:sz w:val="20"/>
          <w:szCs w:val="20"/>
          <w:shd w:val="clear" w:color="auto" w:fill="FFFFFF"/>
        </w:rPr>
        <w:t>// Практична медицина. - 2008. -</w:t>
      </w:r>
      <w:r w:rsidR="0064614F" w:rsidRPr="0099640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614F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>Том 14</w:t>
      </w:r>
      <w:r w:rsidR="0064614F" w:rsidRPr="00996402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64614F" w:rsidRPr="0099640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614F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>№ 2</w:t>
      </w:r>
      <w:r w:rsidR="0064614F" w:rsidRPr="00996402">
        <w:rPr>
          <w:rFonts w:ascii="Times New Roman" w:hAnsi="Times New Roman"/>
          <w:sz w:val="20"/>
          <w:szCs w:val="20"/>
          <w:shd w:val="clear" w:color="auto" w:fill="FFFFFF"/>
        </w:rPr>
        <w:t>. - С. 140-147.</w:t>
      </w:r>
    </w:p>
    <w:p w:rsidR="00AA4CE0" w:rsidRPr="00996402" w:rsidRDefault="006F08E1" w:rsidP="0099640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96402">
        <w:rPr>
          <w:rFonts w:ascii="Times New Roman" w:hAnsi="Times New Roman"/>
          <w:sz w:val="20"/>
          <w:szCs w:val="20"/>
          <w:lang w:val="uk-UA"/>
        </w:rPr>
        <w:t>2</w:t>
      </w:r>
      <w:r w:rsidR="0064614F" w:rsidRPr="0099640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="00AA4CE0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>Кубанова</w:t>
      </w:r>
      <w:proofErr w:type="spellEnd"/>
      <w:r w:rsidR="00AA4CE0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А. А</w:t>
      </w:r>
      <w:r w:rsidR="00AA4CE0" w:rsidRPr="00996402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. </w:t>
      </w:r>
      <w:r w:rsidR="00AA4CE0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>Иммунные механизмы</w:t>
      </w:r>
      <w:r w:rsidR="00AA4CE0" w:rsidRPr="00996402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 </w:t>
      </w:r>
      <w:r w:rsidR="00AA4CE0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>псориаза. Новые стратегии биологической терапии</w:t>
      </w:r>
      <w:r w:rsidR="00AA4CE0" w:rsidRPr="00996402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 //</w:t>
      </w:r>
      <w:r w:rsidR="00AA4CE0" w:rsidRPr="0099640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A4CE0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>Вестник дерматологии и</w:t>
      </w:r>
      <w:r w:rsidR="00AA4CE0" w:rsidRPr="00996402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AA4CE0" w:rsidRPr="00996402">
        <w:rPr>
          <w:rFonts w:ascii="Times New Roman" w:hAnsi="Times New Roman"/>
          <w:sz w:val="20"/>
          <w:szCs w:val="20"/>
          <w:shd w:val="clear" w:color="auto" w:fill="FFFFFF"/>
        </w:rPr>
        <w:t xml:space="preserve">венерологии </w:t>
      </w:r>
      <w:r w:rsidR="00AA4CE0" w:rsidRPr="0099640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. - </w:t>
      </w:r>
      <w:r w:rsidR="00AA4CE0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>2010.</w:t>
      </w:r>
      <w:r w:rsidR="00AA4CE0" w:rsidRPr="00996402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 - </w:t>
      </w:r>
      <w:r w:rsidR="00AA4CE0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N 1</w:t>
      </w:r>
      <w:r w:rsidR="00AA4CE0" w:rsidRPr="00996402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. </w:t>
      </w:r>
      <w:r w:rsidR="00AA4CE0" w:rsidRPr="00996402">
        <w:rPr>
          <w:rFonts w:ascii="Times New Roman" w:hAnsi="Times New Roman"/>
          <w:sz w:val="20"/>
          <w:szCs w:val="20"/>
          <w:shd w:val="clear" w:color="auto" w:fill="FFFFFF"/>
        </w:rPr>
        <w:t>- С.35-47</w:t>
      </w:r>
      <w:r w:rsidR="00AA4CE0" w:rsidRPr="0099640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</w:p>
    <w:p w:rsidR="0064614F" w:rsidRPr="00996402" w:rsidRDefault="006F08E1" w:rsidP="0099640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96402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AA4CE0" w:rsidRPr="00996402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64614F" w:rsidRPr="00996402">
        <w:rPr>
          <w:rFonts w:ascii="Times New Roman" w:hAnsi="Times New Roman"/>
          <w:sz w:val="20"/>
          <w:szCs w:val="20"/>
          <w:shd w:val="clear" w:color="auto" w:fill="FFFFFF"/>
        </w:rPr>
        <w:t>Охлопков</w:t>
      </w:r>
      <w:r w:rsidR="0064614F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="0064614F" w:rsidRPr="00996402">
        <w:rPr>
          <w:rFonts w:ascii="Times New Roman" w:hAnsi="Times New Roman"/>
          <w:sz w:val="20"/>
          <w:szCs w:val="20"/>
          <w:shd w:val="clear" w:color="auto" w:fill="FFFFFF"/>
        </w:rPr>
        <w:t>В.А</w:t>
      </w:r>
      <w:r w:rsidR="0064614F" w:rsidRPr="0099640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  <w:r w:rsidR="0064614F" w:rsidRPr="0099640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614F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Оценка состояния </w:t>
      </w:r>
      <w:proofErr w:type="spellStart"/>
      <w:r w:rsidR="0064614F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>цитокинового</w:t>
      </w:r>
      <w:proofErr w:type="spellEnd"/>
      <w:r w:rsidR="0064614F" w:rsidRPr="0099640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614F" w:rsidRPr="00996402">
        <w:rPr>
          <w:rFonts w:ascii="Times New Roman" w:hAnsi="Times New Roman"/>
          <w:sz w:val="20"/>
          <w:szCs w:val="20"/>
          <w:shd w:val="clear" w:color="auto" w:fill="FFFFFF"/>
        </w:rPr>
        <w:t>профиля у больных</w:t>
      </w:r>
      <w:r w:rsidR="0064614F" w:rsidRPr="0099640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614F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>псориаз</w:t>
      </w:r>
      <w:r w:rsidR="0064614F" w:rsidRPr="00996402">
        <w:rPr>
          <w:rFonts w:ascii="Times New Roman" w:hAnsi="Times New Roman"/>
          <w:sz w:val="20"/>
          <w:szCs w:val="20"/>
          <w:shd w:val="clear" w:color="auto" w:fill="FFFFFF"/>
        </w:rPr>
        <w:t>ом на фоне иммуномодулирующей терапии // Вестник дерматологии и венерологии. - 2010. -</w:t>
      </w:r>
      <w:r w:rsidR="0064614F" w:rsidRPr="00996402">
        <w:rPr>
          <w:rFonts w:ascii="Times New Roman" w:hAnsi="Times New Roman"/>
          <w:bCs/>
          <w:sz w:val="20"/>
          <w:szCs w:val="20"/>
          <w:shd w:val="clear" w:color="auto" w:fill="FFFFFF"/>
        </w:rPr>
        <w:t>N 4</w:t>
      </w:r>
      <w:r w:rsidR="0064614F" w:rsidRPr="00996402">
        <w:rPr>
          <w:rFonts w:ascii="Times New Roman" w:hAnsi="Times New Roman"/>
          <w:sz w:val="20"/>
          <w:szCs w:val="20"/>
          <w:shd w:val="clear" w:color="auto" w:fill="FFFFFF"/>
        </w:rPr>
        <w:t>. - С. 33-39</w:t>
      </w:r>
    </w:p>
    <w:p w:rsidR="00996402" w:rsidRPr="00996402" w:rsidRDefault="00996402" w:rsidP="0099640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96402" w:rsidRPr="00996402" w:rsidRDefault="00996402" w:rsidP="007B0125">
      <w:pPr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996402">
        <w:rPr>
          <w:rFonts w:ascii="Times New Roman" w:hAnsi="Times New Roman"/>
          <w:b/>
          <w:sz w:val="20"/>
          <w:szCs w:val="20"/>
        </w:rPr>
        <w:t>ОПРЕДЕЛЕНИЕ НАРУШЕНИЯ НЕКОТОРЫХ ПОКАЗАТЕЛЕЙ ИММУННОЙ СИСТЕМЫ У БОЛЬНЫХ ПСОРИАЗОМ</w:t>
      </w:r>
    </w:p>
    <w:p w:rsidR="00996402" w:rsidRPr="00996402" w:rsidRDefault="00996402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>Цель. Определение некоторых показателей иммунитета у больных псориазом.</w:t>
      </w:r>
    </w:p>
    <w:p w:rsidR="00996402" w:rsidRPr="00996402" w:rsidRDefault="00996402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 xml:space="preserve">Метод. Для идентификации различных </w:t>
      </w:r>
      <w:proofErr w:type="spellStart"/>
      <w:r w:rsidRPr="00996402">
        <w:rPr>
          <w:rFonts w:ascii="Times New Roman" w:hAnsi="Times New Roman"/>
          <w:sz w:val="20"/>
          <w:szCs w:val="20"/>
        </w:rPr>
        <w:t>субпопуляций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Т-лимфоцитов использовали ЛЦТ. Для определения общего количества лимфоцитов применяли коммерческие наборы МКАТ («</w:t>
      </w:r>
      <w:proofErr w:type="spellStart"/>
      <w:r w:rsidRPr="00996402">
        <w:rPr>
          <w:rFonts w:ascii="Times New Roman" w:hAnsi="Times New Roman"/>
          <w:sz w:val="20"/>
          <w:szCs w:val="20"/>
        </w:rPr>
        <w:t>МедБиоСпектр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», РФ - Москва). Для определения уровня ЦИК использовали спектрофотометрический метод. Определение содержания </w:t>
      </w:r>
      <w:proofErr w:type="spellStart"/>
      <w:r w:rsidRPr="00996402">
        <w:rPr>
          <w:rFonts w:ascii="Times New Roman" w:hAnsi="Times New Roman"/>
          <w:sz w:val="20"/>
          <w:szCs w:val="20"/>
        </w:rPr>
        <w:t>IgG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96402">
        <w:rPr>
          <w:rFonts w:ascii="Times New Roman" w:hAnsi="Times New Roman"/>
          <w:sz w:val="20"/>
          <w:szCs w:val="20"/>
        </w:rPr>
        <w:t>IgA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96402">
        <w:rPr>
          <w:rFonts w:ascii="Times New Roman" w:hAnsi="Times New Roman"/>
          <w:sz w:val="20"/>
          <w:szCs w:val="20"/>
        </w:rPr>
        <w:t>IgM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в сыворотке крови осуществляли методом простой радиальной </w:t>
      </w:r>
      <w:proofErr w:type="spellStart"/>
      <w:r w:rsidRPr="00996402">
        <w:rPr>
          <w:rFonts w:ascii="Times New Roman" w:hAnsi="Times New Roman"/>
          <w:sz w:val="20"/>
          <w:szCs w:val="20"/>
        </w:rPr>
        <w:t>иммунодиффузии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с использованием моноспецифических сывороток против иммуноглобулинов человека производства НИИ эпидемиологии и микробиологии (Россия, Нижний Новгород). Интерфероны изучали с помощью ИФА. Определение цитокинов проводили на иммуноферментном анализаторе фирмы «</w:t>
      </w:r>
      <w:proofErr w:type="spellStart"/>
      <w:r w:rsidRPr="00996402">
        <w:rPr>
          <w:rFonts w:ascii="Times New Roman" w:hAnsi="Times New Roman"/>
          <w:sz w:val="20"/>
          <w:szCs w:val="20"/>
        </w:rPr>
        <w:t>Sanofi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</w:rPr>
        <w:t>Diagnostics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96402">
        <w:rPr>
          <w:rFonts w:ascii="Times New Roman" w:hAnsi="Times New Roman"/>
          <w:sz w:val="20"/>
          <w:szCs w:val="20"/>
        </w:rPr>
        <w:t>Paster</w:t>
      </w:r>
      <w:proofErr w:type="spellEnd"/>
      <w:r w:rsidRPr="00996402">
        <w:rPr>
          <w:rFonts w:ascii="Times New Roman" w:hAnsi="Times New Roman"/>
          <w:sz w:val="20"/>
          <w:szCs w:val="20"/>
        </w:rPr>
        <w:t xml:space="preserve">» PR 2100 (Франция). Концентрацию α-и γ-ИФН изучали с помощью тест-систем производства НПО «Диагностические системы» </w:t>
      </w:r>
      <w:r w:rsidRPr="00996402">
        <w:rPr>
          <w:rFonts w:ascii="Times New Roman" w:hAnsi="Times New Roman"/>
          <w:sz w:val="20"/>
          <w:szCs w:val="20"/>
        </w:rPr>
        <w:lastRenderedPageBreak/>
        <w:t xml:space="preserve">(РФ, Н. Новгород), а уровень ИЛ-2 и ИЛ-4 - с использованием наборов производства «Протеиновый контур» (РФ, СПб). </w:t>
      </w:r>
    </w:p>
    <w:p w:rsidR="00996402" w:rsidRPr="00996402" w:rsidRDefault="00996402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 xml:space="preserve">Результат. При исследовании показателей клеточного звена иммунитета у больных псориазом мы установили достоверное снижение CD3 + и CD4 +-лимфоцитов у 85,2% больных. CD8 + лимфоциты были достоверно увеличены в 85,2% больных псориазом. Уровень натуральных киллеров CD16 + и CD56 + был достоверно уменьшен в 85,2% больных псориазом. При изучении цитокинов мы </w:t>
      </w:r>
      <w:proofErr w:type="gramStart"/>
      <w:r w:rsidRPr="00996402">
        <w:rPr>
          <w:rFonts w:ascii="Times New Roman" w:hAnsi="Times New Roman"/>
          <w:sz w:val="20"/>
          <w:szCs w:val="20"/>
        </w:rPr>
        <w:t>установили</w:t>
      </w:r>
      <w:proofErr w:type="gramEnd"/>
      <w:r w:rsidRPr="00996402">
        <w:rPr>
          <w:rFonts w:ascii="Times New Roman" w:hAnsi="Times New Roman"/>
          <w:sz w:val="20"/>
          <w:szCs w:val="20"/>
        </w:rPr>
        <w:t xml:space="preserve"> что уровень ИФН-α, ИФН-γ, и ИЛ-2 был достоверно уменьшен у всех больных псориазом. </w:t>
      </w:r>
    </w:p>
    <w:p w:rsidR="00996402" w:rsidRPr="00996402" w:rsidRDefault="00996402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sz w:val="20"/>
          <w:szCs w:val="20"/>
        </w:rPr>
        <w:t>Выводы. У больных псориазом наблюдалось нарушение иммунологического баланса, которое заключалось в угнетении клеточного звена иммунитета, установлено достоверное снижение относительного количества NK-клеток с фенотипом CD16 + и CD56 +. Также было выявлено достоверное снижение ИФН-γ, ИЛ-2 и ИФН-α, что косвенно свидетельствует об угнетении функциональной активности Т-хелперов 1 типа, которые синтезируют ИЛ-2 и ИФН-γ, и истощение функциональных резервов всех иммунокомпетентных клеток. Выявлено повышение сывороточного содержания ИЛ-4, основного цитокина, синтезируемого Т-хелперами 2 типа. Наблюдалось</w:t>
      </w:r>
      <w:r w:rsidRPr="00F15582">
        <w:rPr>
          <w:rFonts w:ascii="Times New Roman" w:hAnsi="Times New Roman"/>
          <w:sz w:val="20"/>
          <w:szCs w:val="20"/>
        </w:rPr>
        <w:t xml:space="preserve"> </w:t>
      </w:r>
      <w:r w:rsidRPr="00996402">
        <w:rPr>
          <w:rFonts w:ascii="Times New Roman" w:hAnsi="Times New Roman"/>
          <w:sz w:val="20"/>
          <w:szCs w:val="20"/>
        </w:rPr>
        <w:t>увеличение</w:t>
      </w:r>
      <w:r w:rsidRPr="00F15582">
        <w:rPr>
          <w:rFonts w:ascii="Times New Roman" w:hAnsi="Times New Roman"/>
          <w:sz w:val="20"/>
          <w:szCs w:val="20"/>
        </w:rPr>
        <w:t xml:space="preserve"> </w:t>
      </w:r>
      <w:r w:rsidRPr="00996402">
        <w:rPr>
          <w:rFonts w:ascii="Times New Roman" w:hAnsi="Times New Roman"/>
          <w:sz w:val="20"/>
          <w:szCs w:val="20"/>
          <w:lang w:val="en-US"/>
        </w:rPr>
        <w:t>IgG</w:t>
      </w:r>
      <w:r w:rsidRPr="00F15582">
        <w:rPr>
          <w:rFonts w:ascii="Times New Roman" w:hAnsi="Times New Roman"/>
          <w:sz w:val="20"/>
          <w:szCs w:val="20"/>
        </w:rPr>
        <w:t xml:space="preserve"> </w:t>
      </w:r>
      <w:r w:rsidRPr="00996402">
        <w:rPr>
          <w:rFonts w:ascii="Times New Roman" w:hAnsi="Times New Roman"/>
          <w:sz w:val="20"/>
          <w:szCs w:val="20"/>
        </w:rPr>
        <w:t>и</w:t>
      </w:r>
      <w:r w:rsidRPr="00F15582">
        <w:rPr>
          <w:rFonts w:ascii="Times New Roman" w:hAnsi="Times New Roman"/>
          <w:sz w:val="20"/>
          <w:szCs w:val="20"/>
        </w:rPr>
        <w:t xml:space="preserve"> </w:t>
      </w:r>
      <w:r w:rsidRPr="00996402">
        <w:rPr>
          <w:rFonts w:ascii="Times New Roman" w:hAnsi="Times New Roman"/>
          <w:sz w:val="20"/>
          <w:szCs w:val="20"/>
        </w:rPr>
        <w:t>ЦИК</w:t>
      </w:r>
      <w:r w:rsidRPr="00F15582">
        <w:rPr>
          <w:rFonts w:ascii="Times New Roman" w:hAnsi="Times New Roman"/>
          <w:sz w:val="20"/>
          <w:szCs w:val="20"/>
        </w:rPr>
        <w:t>.</w:t>
      </w:r>
    </w:p>
    <w:p w:rsidR="00996402" w:rsidRPr="00996402" w:rsidRDefault="00996402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96402">
        <w:rPr>
          <w:rFonts w:ascii="Times New Roman" w:hAnsi="Times New Roman"/>
          <w:b/>
          <w:sz w:val="20"/>
          <w:szCs w:val="20"/>
        </w:rPr>
        <w:t>Ключевые слова</w:t>
      </w:r>
      <w:r w:rsidRPr="00996402">
        <w:rPr>
          <w:rFonts w:ascii="Times New Roman" w:hAnsi="Times New Roman"/>
          <w:sz w:val="20"/>
          <w:szCs w:val="20"/>
        </w:rPr>
        <w:t>: псориаз, иммунная система.</w:t>
      </w:r>
    </w:p>
    <w:p w:rsidR="00996402" w:rsidRPr="007B0125" w:rsidRDefault="007B0125" w:rsidP="007B0125">
      <w:pPr>
        <w:spacing w:line="240" w:lineRule="auto"/>
        <w:ind w:firstLine="0"/>
        <w:rPr>
          <w:rFonts w:ascii="Times New Roman" w:hAnsi="Times New Roman"/>
          <w:b/>
          <w:sz w:val="20"/>
          <w:szCs w:val="20"/>
          <w:lang w:val="en-US"/>
        </w:rPr>
      </w:pPr>
      <w:r w:rsidRPr="007B0125">
        <w:rPr>
          <w:rFonts w:ascii="Times New Roman" w:hAnsi="Times New Roman"/>
          <w:b/>
          <w:sz w:val="20"/>
          <w:szCs w:val="20"/>
          <w:lang w:val="en-US"/>
        </w:rPr>
        <w:t>CERTAIN VIOLATIONS OF SOME INDICATORS OF THE IMMUNE SYSTEM IN PATIENTS WITH PSORIASIS</w:t>
      </w:r>
    </w:p>
    <w:p w:rsidR="00996402" w:rsidRPr="00996402" w:rsidRDefault="00996402" w:rsidP="00996402">
      <w:pPr>
        <w:spacing w:line="240" w:lineRule="auto"/>
        <w:ind w:firstLine="284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Background. The definition of some indicators of immunity in patients with psoriasis.</w:t>
      </w:r>
    </w:p>
    <w:p w:rsidR="00996402" w:rsidRPr="00996402" w:rsidRDefault="00996402" w:rsidP="00996402">
      <w:pPr>
        <w:spacing w:line="240" w:lineRule="auto"/>
        <w:ind w:firstLine="284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Methods.  To identify the various subpopulations of T-lymphocytes used LCT test. To determine the total number of lymphocytes used commercial kits </w:t>
      </w:r>
      <w:proofErr w:type="spellStart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MAbs</w:t>
      </w:r>
      <w:proofErr w:type="spellEnd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("</w:t>
      </w:r>
      <w:proofErr w:type="spellStart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MedBioSpektr</w:t>
      </w:r>
      <w:proofErr w:type="spellEnd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" Russian Federation - Moscow). For the determination of CIC using the spectrophotometric method. Determination of IgG, IgA, </w:t>
      </w:r>
      <w:proofErr w:type="spellStart"/>
      <w:proofErr w:type="gramStart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IgM</w:t>
      </w:r>
      <w:proofErr w:type="spellEnd"/>
      <w:proofErr w:type="gramEnd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in serum was performed by single radial </w:t>
      </w:r>
      <w:proofErr w:type="spellStart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immunodiffusion</w:t>
      </w:r>
      <w:proofErr w:type="spellEnd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using </w:t>
      </w:r>
      <w:proofErr w:type="spellStart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monospecific</w:t>
      </w:r>
      <w:proofErr w:type="spellEnd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sera against human immunoglobulin production Institute of Epidemiology and Microbiology (Russia, Nizhny Novgorod). Interferons were studied by ELISA. Determination of cytokines </w:t>
      </w:r>
      <w:proofErr w:type="gramStart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were performed</w:t>
      </w:r>
      <w:proofErr w:type="gramEnd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on enzyme immunoassay analyzer of the company «Sanofi Diagnostics </w:t>
      </w:r>
      <w:proofErr w:type="spellStart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Paster</w:t>
      </w:r>
      <w:proofErr w:type="spellEnd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» PR 2100 (France). The concentration of α-and γ-interferon was studied using test systems produced by "Diagnostic Systems" (Russia, Nizhny Novgorod), and the level of IL-2 and IL-4 - with sets of production "Protein contour" (Russia, St. Petersburg</w:t>
      </w:r>
      <w:proofErr w:type="gramStart"/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) .</w:t>
      </w:r>
      <w:proofErr w:type="gramEnd"/>
    </w:p>
    <w:p w:rsidR="00996402" w:rsidRPr="00996402" w:rsidRDefault="00996402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en-US"/>
        </w:rPr>
      </w:pPr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Result. </w:t>
      </w:r>
      <w:r w:rsidRPr="00996402">
        <w:rPr>
          <w:rFonts w:ascii="Times New Roman" w:hAnsi="Times New Roman"/>
          <w:sz w:val="20"/>
          <w:szCs w:val="20"/>
          <w:lang w:val="en-US"/>
        </w:rPr>
        <w:t>In the study of cellular immunity in patients with psoriasis, we have established a significant decrease CD3 + and CD4 +-lymphocytes in 85.2% of patients. CD8 + lymphocytes were significantly increased in 85.2% of patients with psoriasis. Levels of natural killer cells CD16 + CD56 + was significantly reduced in 85.2% of patients with psoriasis. In the study we found that the cytokine level of IFN-</w:t>
      </w:r>
      <w:r w:rsidRPr="00996402">
        <w:rPr>
          <w:rFonts w:ascii="Times New Roman" w:hAnsi="Times New Roman"/>
          <w:sz w:val="20"/>
          <w:szCs w:val="20"/>
        </w:rPr>
        <w:t>α</w:t>
      </w:r>
      <w:r w:rsidRPr="00996402">
        <w:rPr>
          <w:rFonts w:ascii="Times New Roman" w:hAnsi="Times New Roman"/>
          <w:sz w:val="20"/>
          <w:szCs w:val="20"/>
          <w:lang w:val="en-US"/>
        </w:rPr>
        <w:t>, IFN-</w:t>
      </w:r>
      <w:r w:rsidRPr="00996402">
        <w:rPr>
          <w:rFonts w:ascii="Times New Roman" w:hAnsi="Times New Roman"/>
          <w:sz w:val="20"/>
          <w:szCs w:val="20"/>
        </w:rPr>
        <w:t>γ</w:t>
      </w:r>
      <w:r w:rsidRPr="00996402">
        <w:rPr>
          <w:rFonts w:ascii="Times New Roman" w:hAnsi="Times New Roman"/>
          <w:sz w:val="20"/>
          <w:szCs w:val="20"/>
          <w:lang w:val="en-US"/>
        </w:rPr>
        <w:t xml:space="preserve">, and IL-2 was significantly decreased in all patients with psoriasis. CIC content in the peripheral blood of patients with psoriasis was significantly increased in all patients. </w:t>
      </w:r>
    </w:p>
    <w:p w:rsidR="00996402" w:rsidRPr="00996402" w:rsidRDefault="00996402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en-US"/>
        </w:rPr>
      </w:pPr>
      <w:r w:rsidRPr="0099640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Conclusion. </w:t>
      </w:r>
      <w:r w:rsidRPr="00996402">
        <w:rPr>
          <w:rFonts w:ascii="Times New Roman" w:hAnsi="Times New Roman"/>
          <w:sz w:val="20"/>
          <w:szCs w:val="20"/>
          <w:lang w:val="en-US"/>
        </w:rPr>
        <w:t>Based on the above it can be concluded that in patients with psoriasis was observed violation of the immunological balance, which is the oppression of cellular immunity, found a significant decrease in the relative number of NK-cells with the phenotype CD16 + and CD56 +. It was also revealed a significant decrease of IFN-</w:t>
      </w:r>
      <w:r w:rsidRPr="00996402">
        <w:rPr>
          <w:rFonts w:ascii="Times New Roman" w:hAnsi="Times New Roman"/>
          <w:sz w:val="20"/>
          <w:szCs w:val="20"/>
        </w:rPr>
        <w:t>γ</w:t>
      </w:r>
      <w:r w:rsidRPr="00996402">
        <w:rPr>
          <w:rFonts w:ascii="Times New Roman" w:hAnsi="Times New Roman"/>
          <w:sz w:val="20"/>
          <w:szCs w:val="20"/>
          <w:lang w:val="en-US"/>
        </w:rPr>
        <w:t>, IL-2 and IFN-</w:t>
      </w:r>
      <w:r w:rsidRPr="00996402">
        <w:rPr>
          <w:rFonts w:ascii="Times New Roman" w:hAnsi="Times New Roman"/>
          <w:sz w:val="20"/>
          <w:szCs w:val="20"/>
        </w:rPr>
        <w:t>α</w:t>
      </w:r>
      <w:r w:rsidRPr="00996402">
        <w:rPr>
          <w:rFonts w:ascii="Times New Roman" w:hAnsi="Times New Roman"/>
          <w:sz w:val="20"/>
          <w:szCs w:val="20"/>
          <w:lang w:val="en-US"/>
        </w:rPr>
        <w:t>, which is indirect evidence of the oppression of the functional activity of T-helper type 1, which synthesize IL-2 and IFN-</w:t>
      </w:r>
      <w:r w:rsidRPr="00996402">
        <w:rPr>
          <w:rFonts w:ascii="Times New Roman" w:hAnsi="Times New Roman"/>
          <w:sz w:val="20"/>
          <w:szCs w:val="20"/>
        </w:rPr>
        <w:t>γ</w:t>
      </w:r>
      <w:r w:rsidRPr="00996402">
        <w:rPr>
          <w:rFonts w:ascii="Times New Roman" w:hAnsi="Times New Roman"/>
          <w:sz w:val="20"/>
          <w:szCs w:val="20"/>
          <w:lang w:val="en-US"/>
        </w:rPr>
        <w:t xml:space="preserve">, and the depletion of functional reserves of </w:t>
      </w:r>
      <w:proofErr w:type="spellStart"/>
      <w:r w:rsidRPr="00996402">
        <w:rPr>
          <w:rFonts w:ascii="Times New Roman" w:hAnsi="Times New Roman"/>
          <w:sz w:val="20"/>
          <w:szCs w:val="20"/>
          <w:lang w:val="en-US"/>
        </w:rPr>
        <w:t>immunocompetent</w:t>
      </w:r>
      <w:proofErr w:type="spellEnd"/>
      <w:r w:rsidRPr="00996402">
        <w:rPr>
          <w:rFonts w:ascii="Times New Roman" w:hAnsi="Times New Roman"/>
          <w:sz w:val="20"/>
          <w:szCs w:val="20"/>
          <w:lang w:val="en-US"/>
        </w:rPr>
        <w:t xml:space="preserve"> cells. The increase of serum levels of IL-4, which is the main cytokine synthesized by T-helper type 2. </w:t>
      </w:r>
    </w:p>
    <w:p w:rsidR="00996402" w:rsidRPr="00996402" w:rsidRDefault="00996402" w:rsidP="0099640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en-US"/>
        </w:rPr>
      </w:pPr>
      <w:r w:rsidRPr="00996402">
        <w:rPr>
          <w:rFonts w:ascii="Times New Roman" w:hAnsi="Times New Roman"/>
          <w:b/>
          <w:sz w:val="20"/>
          <w:szCs w:val="20"/>
          <w:lang w:val="en-US"/>
        </w:rPr>
        <w:t xml:space="preserve">Keywords: </w:t>
      </w:r>
      <w:r w:rsidRPr="00996402">
        <w:rPr>
          <w:rFonts w:ascii="Times New Roman" w:hAnsi="Times New Roman"/>
          <w:sz w:val="20"/>
          <w:szCs w:val="20"/>
          <w:lang w:val="en-US"/>
        </w:rPr>
        <w:t xml:space="preserve">psoriasis, the immune system. </w:t>
      </w:r>
    </w:p>
    <w:bookmarkEnd w:id="0"/>
    <w:p w:rsidR="00996402" w:rsidRPr="00996402" w:rsidRDefault="00996402" w:rsidP="0099640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996402" w:rsidRPr="00996402" w:rsidSect="00E941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D2E91"/>
    <w:multiLevelType w:val="hybridMultilevel"/>
    <w:tmpl w:val="83AA8B5A"/>
    <w:lvl w:ilvl="0" w:tplc="7ABE2B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1CF"/>
    <w:rsid w:val="000019E9"/>
    <w:rsid w:val="00002147"/>
    <w:rsid w:val="0000385C"/>
    <w:rsid w:val="00003A41"/>
    <w:rsid w:val="00005925"/>
    <w:rsid w:val="00010365"/>
    <w:rsid w:val="0001149F"/>
    <w:rsid w:val="0001244C"/>
    <w:rsid w:val="00020CA1"/>
    <w:rsid w:val="00021B47"/>
    <w:rsid w:val="00021E88"/>
    <w:rsid w:val="0002368B"/>
    <w:rsid w:val="0002555A"/>
    <w:rsid w:val="000258B6"/>
    <w:rsid w:val="00027683"/>
    <w:rsid w:val="00030B1C"/>
    <w:rsid w:val="00032968"/>
    <w:rsid w:val="00035322"/>
    <w:rsid w:val="00041668"/>
    <w:rsid w:val="00047579"/>
    <w:rsid w:val="00055594"/>
    <w:rsid w:val="00057B66"/>
    <w:rsid w:val="000612E8"/>
    <w:rsid w:val="0006395E"/>
    <w:rsid w:val="00066792"/>
    <w:rsid w:val="00071F9B"/>
    <w:rsid w:val="00072C1A"/>
    <w:rsid w:val="000751E5"/>
    <w:rsid w:val="00080DF7"/>
    <w:rsid w:val="00083320"/>
    <w:rsid w:val="00084C14"/>
    <w:rsid w:val="0008659F"/>
    <w:rsid w:val="000876D7"/>
    <w:rsid w:val="0009024A"/>
    <w:rsid w:val="00095C58"/>
    <w:rsid w:val="00097ACF"/>
    <w:rsid w:val="000A43D1"/>
    <w:rsid w:val="000A6D16"/>
    <w:rsid w:val="000B0808"/>
    <w:rsid w:val="000B0B67"/>
    <w:rsid w:val="000B1887"/>
    <w:rsid w:val="000B2E20"/>
    <w:rsid w:val="000B7F25"/>
    <w:rsid w:val="000C260F"/>
    <w:rsid w:val="000C373A"/>
    <w:rsid w:val="000C5F47"/>
    <w:rsid w:val="000C7997"/>
    <w:rsid w:val="000D0514"/>
    <w:rsid w:val="000D4ACD"/>
    <w:rsid w:val="000D7BD3"/>
    <w:rsid w:val="000E2CF4"/>
    <w:rsid w:val="000E4A99"/>
    <w:rsid w:val="000E4E23"/>
    <w:rsid w:val="000E6579"/>
    <w:rsid w:val="000E752C"/>
    <w:rsid w:val="000F158B"/>
    <w:rsid w:val="000F17F1"/>
    <w:rsid w:val="000F4E42"/>
    <w:rsid w:val="000F54A5"/>
    <w:rsid w:val="000F6E20"/>
    <w:rsid w:val="000F7A86"/>
    <w:rsid w:val="001018EF"/>
    <w:rsid w:val="00105EEE"/>
    <w:rsid w:val="00106FC3"/>
    <w:rsid w:val="00107A8A"/>
    <w:rsid w:val="00110A36"/>
    <w:rsid w:val="00116C89"/>
    <w:rsid w:val="001170FB"/>
    <w:rsid w:val="00122CEF"/>
    <w:rsid w:val="001248FF"/>
    <w:rsid w:val="00124B99"/>
    <w:rsid w:val="00125623"/>
    <w:rsid w:val="001262AB"/>
    <w:rsid w:val="001309A4"/>
    <w:rsid w:val="00133DD2"/>
    <w:rsid w:val="00134B2D"/>
    <w:rsid w:val="00136B86"/>
    <w:rsid w:val="00140C39"/>
    <w:rsid w:val="001452BE"/>
    <w:rsid w:val="00152C92"/>
    <w:rsid w:val="00153BD2"/>
    <w:rsid w:val="0015754A"/>
    <w:rsid w:val="00166666"/>
    <w:rsid w:val="00174B19"/>
    <w:rsid w:val="0017538C"/>
    <w:rsid w:val="00184DFA"/>
    <w:rsid w:val="0018611F"/>
    <w:rsid w:val="00190CA2"/>
    <w:rsid w:val="0019407B"/>
    <w:rsid w:val="001943D4"/>
    <w:rsid w:val="00196319"/>
    <w:rsid w:val="00196572"/>
    <w:rsid w:val="001A01C4"/>
    <w:rsid w:val="001A4E0A"/>
    <w:rsid w:val="001A6E51"/>
    <w:rsid w:val="001B114A"/>
    <w:rsid w:val="001B620D"/>
    <w:rsid w:val="001C2056"/>
    <w:rsid w:val="001C56B2"/>
    <w:rsid w:val="001D0284"/>
    <w:rsid w:val="001D030B"/>
    <w:rsid w:val="001D469C"/>
    <w:rsid w:val="001D4764"/>
    <w:rsid w:val="001D7392"/>
    <w:rsid w:val="001D7CE3"/>
    <w:rsid w:val="001E0BB4"/>
    <w:rsid w:val="001E0D3C"/>
    <w:rsid w:val="001E16AC"/>
    <w:rsid w:val="001E5E86"/>
    <w:rsid w:val="001E7447"/>
    <w:rsid w:val="001F5896"/>
    <w:rsid w:val="00200535"/>
    <w:rsid w:val="002015B9"/>
    <w:rsid w:val="00201633"/>
    <w:rsid w:val="0020781A"/>
    <w:rsid w:val="00210037"/>
    <w:rsid w:val="00210632"/>
    <w:rsid w:val="00214C29"/>
    <w:rsid w:val="002178D5"/>
    <w:rsid w:val="00220B3C"/>
    <w:rsid w:val="00221A67"/>
    <w:rsid w:val="00221A6A"/>
    <w:rsid w:val="0022232F"/>
    <w:rsid w:val="002240DB"/>
    <w:rsid w:val="00227917"/>
    <w:rsid w:val="00230381"/>
    <w:rsid w:val="00231BC4"/>
    <w:rsid w:val="00231E55"/>
    <w:rsid w:val="00235F61"/>
    <w:rsid w:val="002415B4"/>
    <w:rsid w:val="00242FE3"/>
    <w:rsid w:val="002471CB"/>
    <w:rsid w:val="0025004B"/>
    <w:rsid w:val="00256556"/>
    <w:rsid w:val="00256B63"/>
    <w:rsid w:val="00257A7C"/>
    <w:rsid w:val="00262631"/>
    <w:rsid w:val="00263D1A"/>
    <w:rsid w:val="002640C0"/>
    <w:rsid w:val="00264134"/>
    <w:rsid w:val="002714BD"/>
    <w:rsid w:val="00271931"/>
    <w:rsid w:val="0027723E"/>
    <w:rsid w:val="002775DD"/>
    <w:rsid w:val="002813C5"/>
    <w:rsid w:val="002870A6"/>
    <w:rsid w:val="00293261"/>
    <w:rsid w:val="002946DA"/>
    <w:rsid w:val="002B034B"/>
    <w:rsid w:val="002B1CF8"/>
    <w:rsid w:val="002B1F66"/>
    <w:rsid w:val="002B262B"/>
    <w:rsid w:val="002B4798"/>
    <w:rsid w:val="002C2029"/>
    <w:rsid w:val="002C7EA1"/>
    <w:rsid w:val="002D51FE"/>
    <w:rsid w:val="002E3B10"/>
    <w:rsid w:val="002F1FBE"/>
    <w:rsid w:val="00303616"/>
    <w:rsid w:val="00303AF0"/>
    <w:rsid w:val="00311DEE"/>
    <w:rsid w:val="003125E4"/>
    <w:rsid w:val="0031452B"/>
    <w:rsid w:val="00314D2F"/>
    <w:rsid w:val="00314D34"/>
    <w:rsid w:val="0032370B"/>
    <w:rsid w:val="00325195"/>
    <w:rsid w:val="003263F0"/>
    <w:rsid w:val="0032640E"/>
    <w:rsid w:val="00326444"/>
    <w:rsid w:val="00331875"/>
    <w:rsid w:val="00333853"/>
    <w:rsid w:val="00337016"/>
    <w:rsid w:val="003454FC"/>
    <w:rsid w:val="00347220"/>
    <w:rsid w:val="003503BE"/>
    <w:rsid w:val="00350759"/>
    <w:rsid w:val="003537FB"/>
    <w:rsid w:val="00355367"/>
    <w:rsid w:val="003576E2"/>
    <w:rsid w:val="00357D05"/>
    <w:rsid w:val="00360755"/>
    <w:rsid w:val="0036447E"/>
    <w:rsid w:val="003651B8"/>
    <w:rsid w:val="003679E3"/>
    <w:rsid w:val="00370F82"/>
    <w:rsid w:val="0037459A"/>
    <w:rsid w:val="0037538A"/>
    <w:rsid w:val="00383584"/>
    <w:rsid w:val="00390234"/>
    <w:rsid w:val="0039172E"/>
    <w:rsid w:val="00394AAC"/>
    <w:rsid w:val="003A6038"/>
    <w:rsid w:val="003A7348"/>
    <w:rsid w:val="003B6234"/>
    <w:rsid w:val="003B6D3A"/>
    <w:rsid w:val="003C1B3F"/>
    <w:rsid w:val="003C1C1B"/>
    <w:rsid w:val="003C2C7F"/>
    <w:rsid w:val="003C3826"/>
    <w:rsid w:val="003C408C"/>
    <w:rsid w:val="003E0070"/>
    <w:rsid w:val="003E2123"/>
    <w:rsid w:val="003E500A"/>
    <w:rsid w:val="003E64E6"/>
    <w:rsid w:val="003F1896"/>
    <w:rsid w:val="003F1AA2"/>
    <w:rsid w:val="003F454A"/>
    <w:rsid w:val="003F79EF"/>
    <w:rsid w:val="00402070"/>
    <w:rsid w:val="0040466D"/>
    <w:rsid w:val="004048A4"/>
    <w:rsid w:val="004063B5"/>
    <w:rsid w:val="00407A08"/>
    <w:rsid w:val="00412010"/>
    <w:rsid w:val="00415C44"/>
    <w:rsid w:val="0041683A"/>
    <w:rsid w:val="004212E8"/>
    <w:rsid w:val="00433DCE"/>
    <w:rsid w:val="004420DA"/>
    <w:rsid w:val="00442473"/>
    <w:rsid w:val="00445E8D"/>
    <w:rsid w:val="0044724B"/>
    <w:rsid w:val="00447992"/>
    <w:rsid w:val="004479E7"/>
    <w:rsid w:val="0045236B"/>
    <w:rsid w:val="00452668"/>
    <w:rsid w:val="004527A4"/>
    <w:rsid w:val="00452C8E"/>
    <w:rsid w:val="00453644"/>
    <w:rsid w:val="00453DEE"/>
    <w:rsid w:val="00456BF7"/>
    <w:rsid w:val="0046100D"/>
    <w:rsid w:val="00462D0D"/>
    <w:rsid w:val="004651FF"/>
    <w:rsid w:val="0046553C"/>
    <w:rsid w:val="0047482B"/>
    <w:rsid w:val="00480624"/>
    <w:rsid w:val="00482AB4"/>
    <w:rsid w:val="00483FF0"/>
    <w:rsid w:val="0049669A"/>
    <w:rsid w:val="004A0844"/>
    <w:rsid w:val="004A23FE"/>
    <w:rsid w:val="004A3148"/>
    <w:rsid w:val="004A319D"/>
    <w:rsid w:val="004B2CD9"/>
    <w:rsid w:val="004B5AB1"/>
    <w:rsid w:val="004B6A5B"/>
    <w:rsid w:val="004C02CE"/>
    <w:rsid w:val="004C3288"/>
    <w:rsid w:val="004C5E85"/>
    <w:rsid w:val="004D2D14"/>
    <w:rsid w:val="004D32C7"/>
    <w:rsid w:val="004D3483"/>
    <w:rsid w:val="004D3809"/>
    <w:rsid w:val="004D5570"/>
    <w:rsid w:val="004E1F0E"/>
    <w:rsid w:val="004E230F"/>
    <w:rsid w:val="004E494E"/>
    <w:rsid w:val="004E66EE"/>
    <w:rsid w:val="004E7DBD"/>
    <w:rsid w:val="004F050E"/>
    <w:rsid w:val="004F4B3E"/>
    <w:rsid w:val="004F6F48"/>
    <w:rsid w:val="005017E1"/>
    <w:rsid w:val="00505BC6"/>
    <w:rsid w:val="0051148D"/>
    <w:rsid w:val="005129B5"/>
    <w:rsid w:val="0051371C"/>
    <w:rsid w:val="00514541"/>
    <w:rsid w:val="00514EB8"/>
    <w:rsid w:val="0051548F"/>
    <w:rsid w:val="00516378"/>
    <w:rsid w:val="00522D1B"/>
    <w:rsid w:val="005317AB"/>
    <w:rsid w:val="00541E8B"/>
    <w:rsid w:val="0054296B"/>
    <w:rsid w:val="00543544"/>
    <w:rsid w:val="00544691"/>
    <w:rsid w:val="005509ED"/>
    <w:rsid w:val="00550C56"/>
    <w:rsid w:val="005537F6"/>
    <w:rsid w:val="005550B8"/>
    <w:rsid w:val="00555AA7"/>
    <w:rsid w:val="005563DE"/>
    <w:rsid w:val="005566BE"/>
    <w:rsid w:val="00557007"/>
    <w:rsid w:val="005635D7"/>
    <w:rsid w:val="00564357"/>
    <w:rsid w:val="00564756"/>
    <w:rsid w:val="00566B95"/>
    <w:rsid w:val="005734EA"/>
    <w:rsid w:val="005735FA"/>
    <w:rsid w:val="00573A67"/>
    <w:rsid w:val="00577701"/>
    <w:rsid w:val="00581D23"/>
    <w:rsid w:val="005823DC"/>
    <w:rsid w:val="00587F10"/>
    <w:rsid w:val="00591F57"/>
    <w:rsid w:val="00594A0A"/>
    <w:rsid w:val="0059500E"/>
    <w:rsid w:val="005A21A7"/>
    <w:rsid w:val="005A483A"/>
    <w:rsid w:val="005A4884"/>
    <w:rsid w:val="005A5832"/>
    <w:rsid w:val="005B33EA"/>
    <w:rsid w:val="005B3917"/>
    <w:rsid w:val="005B3C39"/>
    <w:rsid w:val="005B5583"/>
    <w:rsid w:val="005B5E89"/>
    <w:rsid w:val="005C25CD"/>
    <w:rsid w:val="005C3EC9"/>
    <w:rsid w:val="005C54F0"/>
    <w:rsid w:val="005C55FA"/>
    <w:rsid w:val="005C6781"/>
    <w:rsid w:val="005D347E"/>
    <w:rsid w:val="005D7C0A"/>
    <w:rsid w:val="005E0BAF"/>
    <w:rsid w:val="005E23D1"/>
    <w:rsid w:val="005E37FD"/>
    <w:rsid w:val="005E4AC9"/>
    <w:rsid w:val="005E6310"/>
    <w:rsid w:val="005F03C5"/>
    <w:rsid w:val="005F081F"/>
    <w:rsid w:val="005F1BEF"/>
    <w:rsid w:val="005F358A"/>
    <w:rsid w:val="005F5B42"/>
    <w:rsid w:val="005F5C62"/>
    <w:rsid w:val="005F67A3"/>
    <w:rsid w:val="00601E79"/>
    <w:rsid w:val="00606D79"/>
    <w:rsid w:val="00612BB6"/>
    <w:rsid w:val="00614C2B"/>
    <w:rsid w:val="00615847"/>
    <w:rsid w:val="00615CE7"/>
    <w:rsid w:val="00616588"/>
    <w:rsid w:val="006175EA"/>
    <w:rsid w:val="00620AAB"/>
    <w:rsid w:val="00625F28"/>
    <w:rsid w:val="00631D91"/>
    <w:rsid w:val="00632D50"/>
    <w:rsid w:val="00634ABF"/>
    <w:rsid w:val="00636476"/>
    <w:rsid w:val="006373F1"/>
    <w:rsid w:val="0064614F"/>
    <w:rsid w:val="00652609"/>
    <w:rsid w:val="00654411"/>
    <w:rsid w:val="0065737F"/>
    <w:rsid w:val="00662FA8"/>
    <w:rsid w:val="006648FF"/>
    <w:rsid w:val="0066739C"/>
    <w:rsid w:val="00667415"/>
    <w:rsid w:val="00667E53"/>
    <w:rsid w:val="006747F5"/>
    <w:rsid w:val="006804F5"/>
    <w:rsid w:val="006806E1"/>
    <w:rsid w:val="00680D67"/>
    <w:rsid w:val="00681F36"/>
    <w:rsid w:val="00682895"/>
    <w:rsid w:val="00685AE1"/>
    <w:rsid w:val="00686032"/>
    <w:rsid w:val="0068707C"/>
    <w:rsid w:val="0068758F"/>
    <w:rsid w:val="006A04D1"/>
    <w:rsid w:val="006A3C0A"/>
    <w:rsid w:val="006A6D8D"/>
    <w:rsid w:val="006B508F"/>
    <w:rsid w:val="006B5B89"/>
    <w:rsid w:val="006B7863"/>
    <w:rsid w:val="006C0375"/>
    <w:rsid w:val="006C3CBE"/>
    <w:rsid w:val="006C67BE"/>
    <w:rsid w:val="006C7601"/>
    <w:rsid w:val="006D0B12"/>
    <w:rsid w:val="006D2112"/>
    <w:rsid w:val="006D21CA"/>
    <w:rsid w:val="006D28D3"/>
    <w:rsid w:val="006D2988"/>
    <w:rsid w:val="006D618C"/>
    <w:rsid w:val="006E02AF"/>
    <w:rsid w:val="006E4302"/>
    <w:rsid w:val="006E4D9D"/>
    <w:rsid w:val="006E7CBA"/>
    <w:rsid w:val="006F08E1"/>
    <w:rsid w:val="006F1F95"/>
    <w:rsid w:val="006F2B7E"/>
    <w:rsid w:val="006F3A32"/>
    <w:rsid w:val="006F5287"/>
    <w:rsid w:val="00700E5A"/>
    <w:rsid w:val="007030F4"/>
    <w:rsid w:val="00703CED"/>
    <w:rsid w:val="00705794"/>
    <w:rsid w:val="00705C5F"/>
    <w:rsid w:val="00707828"/>
    <w:rsid w:val="007112E5"/>
    <w:rsid w:val="00715494"/>
    <w:rsid w:val="00716B73"/>
    <w:rsid w:val="00717C61"/>
    <w:rsid w:val="00725808"/>
    <w:rsid w:val="00726999"/>
    <w:rsid w:val="00731CFE"/>
    <w:rsid w:val="00735B05"/>
    <w:rsid w:val="0074473F"/>
    <w:rsid w:val="007461A0"/>
    <w:rsid w:val="007471E8"/>
    <w:rsid w:val="0075299F"/>
    <w:rsid w:val="00753B44"/>
    <w:rsid w:val="0076029B"/>
    <w:rsid w:val="00761C7B"/>
    <w:rsid w:val="00766943"/>
    <w:rsid w:val="00770200"/>
    <w:rsid w:val="00771254"/>
    <w:rsid w:val="0077364B"/>
    <w:rsid w:val="007751C6"/>
    <w:rsid w:val="00776C8C"/>
    <w:rsid w:val="007818D7"/>
    <w:rsid w:val="00782BD8"/>
    <w:rsid w:val="00783154"/>
    <w:rsid w:val="007911C9"/>
    <w:rsid w:val="00796583"/>
    <w:rsid w:val="007A0865"/>
    <w:rsid w:val="007A3A78"/>
    <w:rsid w:val="007A7186"/>
    <w:rsid w:val="007B0125"/>
    <w:rsid w:val="007B08ED"/>
    <w:rsid w:val="007B412A"/>
    <w:rsid w:val="007B7199"/>
    <w:rsid w:val="007C39B7"/>
    <w:rsid w:val="007D1126"/>
    <w:rsid w:val="007D1F7B"/>
    <w:rsid w:val="007D4346"/>
    <w:rsid w:val="007D49AD"/>
    <w:rsid w:val="007D5CA3"/>
    <w:rsid w:val="007D5FDB"/>
    <w:rsid w:val="007E2169"/>
    <w:rsid w:val="007F0D71"/>
    <w:rsid w:val="007F397B"/>
    <w:rsid w:val="007F3CD7"/>
    <w:rsid w:val="007F6A8D"/>
    <w:rsid w:val="00800624"/>
    <w:rsid w:val="00802013"/>
    <w:rsid w:val="00806266"/>
    <w:rsid w:val="008064FF"/>
    <w:rsid w:val="00807A53"/>
    <w:rsid w:val="00811248"/>
    <w:rsid w:val="00814E46"/>
    <w:rsid w:val="008151F4"/>
    <w:rsid w:val="00816191"/>
    <w:rsid w:val="00816DEA"/>
    <w:rsid w:val="00817DD9"/>
    <w:rsid w:val="008220CF"/>
    <w:rsid w:val="00826B57"/>
    <w:rsid w:val="0083502D"/>
    <w:rsid w:val="008416DE"/>
    <w:rsid w:val="0084405D"/>
    <w:rsid w:val="0084502E"/>
    <w:rsid w:val="00845DD8"/>
    <w:rsid w:val="008462E5"/>
    <w:rsid w:val="00847919"/>
    <w:rsid w:val="0085080B"/>
    <w:rsid w:val="0085480C"/>
    <w:rsid w:val="008549F3"/>
    <w:rsid w:val="00855218"/>
    <w:rsid w:val="00856A13"/>
    <w:rsid w:val="00856CE8"/>
    <w:rsid w:val="00862327"/>
    <w:rsid w:val="00863260"/>
    <w:rsid w:val="0086693E"/>
    <w:rsid w:val="00875F0C"/>
    <w:rsid w:val="008778D7"/>
    <w:rsid w:val="00886BBF"/>
    <w:rsid w:val="00890E57"/>
    <w:rsid w:val="008959A5"/>
    <w:rsid w:val="00897107"/>
    <w:rsid w:val="008A4BE2"/>
    <w:rsid w:val="008A7077"/>
    <w:rsid w:val="008A79A1"/>
    <w:rsid w:val="008B2011"/>
    <w:rsid w:val="008B4B12"/>
    <w:rsid w:val="008B6341"/>
    <w:rsid w:val="008B68C8"/>
    <w:rsid w:val="008C06F5"/>
    <w:rsid w:val="008C0BF5"/>
    <w:rsid w:val="008C1974"/>
    <w:rsid w:val="008C33EE"/>
    <w:rsid w:val="008C3CEA"/>
    <w:rsid w:val="008C402A"/>
    <w:rsid w:val="008C5498"/>
    <w:rsid w:val="008C6355"/>
    <w:rsid w:val="008D014A"/>
    <w:rsid w:val="008D124E"/>
    <w:rsid w:val="008E07FD"/>
    <w:rsid w:val="008E1B6D"/>
    <w:rsid w:val="008E380E"/>
    <w:rsid w:val="008F2B8E"/>
    <w:rsid w:val="008F34EE"/>
    <w:rsid w:val="0090067B"/>
    <w:rsid w:val="00900FFB"/>
    <w:rsid w:val="00902CEA"/>
    <w:rsid w:val="00904BEC"/>
    <w:rsid w:val="0090640D"/>
    <w:rsid w:val="00910023"/>
    <w:rsid w:val="00912977"/>
    <w:rsid w:val="00916B10"/>
    <w:rsid w:val="00917105"/>
    <w:rsid w:val="00917ABA"/>
    <w:rsid w:val="00922175"/>
    <w:rsid w:val="009235B5"/>
    <w:rsid w:val="00925163"/>
    <w:rsid w:val="00925A51"/>
    <w:rsid w:val="00930012"/>
    <w:rsid w:val="0093228F"/>
    <w:rsid w:val="009328CC"/>
    <w:rsid w:val="00934408"/>
    <w:rsid w:val="00936868"/>
    <w:rsid w:val="00940522"/>
    <w:rsid w:val="00943F7D"/>
    <w:rsid w:val="00945765"/>
    <w:rsid w:val="00947564"/>
    <w:rsid w:val="00947B8D"/>
    <w:rsid w:val="009507D9"/>
    <w:rsid w:val="009508D3"/>
    <w:rsid w:val="00951D2C"/>
    <w:rsid w:val="009533AD"/>
    <w:rsid w:val="009545FF"/>
    <w:rsid w:val="00955725"/>
    <w:rsid w:val="00955D23"/>
    <w:rsid w:val="00957529"/>
    <w:rsid w:val="00963E25"/>
    <w:rsid w:val="00964188"/>
    <w:rsid w:val="00970F3C"/>
    <w:rsid w:val="00971FDE"/>
    <w:rsid w:val="00972496"/>
    <w:rsid w:val="009728C2"/>
    <w:rsid w:val="009738B5"/>
    <w:rsid w:val="00977031"/>
    <w:rsid w:val="00977FD0"/>
    <w:rsid w:val="00981229"/>
    <w:rsid w:val="0098295D"/>
    <w:rsid w:val="009845FB"/>
    <w:rsid w:val="00993F82"/>
    <w:rsid w:val="00996402"/>
    <w:rsid w:val="00996D5D"/>
    <w:rsid w:val="009A04CE"/>
    <w:rsid w:val="009A1F36"/>
    <w:rsid w:val="009A2F89"/>
    <w:rsid w:val="009A44F6"/>
    <w:rsid w:val="009B1457"/>
    <w:rsid w:val="009B4AAC"/>
    <w:rsid w:val="009E4904"/>
    <w:rsid w:val="009E494E"/>
    <w:rsid w:val="009E4F62"/>
    <w:rsid w:val="009F0AAE"/>
    <w:rsid w:val="009F0ABB"/>
    <w:rsid w:val="009F15B7"/>
    <w:rsid w:val="009F68D0"/>
    <w:rsid w:val="009F77F3"/>
    <w:rsid w:val="00A0338C"/>
    <w:rsid w:val="00A03F15"/>
    <w:rsid w:val="00A0554D"/>
    <w:rsid w:val="00A12796"/>
    <w:rsid w:val="00A157FC"/>
    <w:rsid w:val="00A21D98"/>
    <w:rsid w:val="00A22199"/>
    <w:rsid w:val="00A221F2"/>
    <w:rsid w:val="00A22969"/>
    <w:rsid w:val="00A22ABB"/>
    <w:rsid w:val="00A23282"/>
    <w:rsid w:val="00A23B1A"/>
    <w:rsid w:val="00A242B8"/>
    <w:rsid w:val="00A2449A"/>
    <w:rsid w:val="00A25A09"/>
    <w:rsid w:val="00A25C2C"/>
    <w:rsid w:val="00A266BA"/>
    <w:rsid w:val="00A3202A"/>
    <w:rsid w:val="00A34937"/>
    <w:rsid w:val="00A35B89"/>
    <w:rsid w:val="00A3685F"/>
    <w:rsid w:val="00A42F3A"/>
    <w:rsid w:val="00A46C09"/>
    <w:rsid w:val="00A47024"/>
    <w:rsid w:val="00A5409D"/>
    <w:rsid w:val="00A54F26"/>
    <w:rsid w:val="00A556AF"/>
    <w:rsid w:val="00A56379"/>
    <w:rsid w:val="00A56CDA"/>
    <w:rsid w:val="00A622BF"/>
    <w:rsid w:val="00A64253"/>
    <w:rsid w:val="00A73621"/>
    <w:rsid w:val="00A9144D"/>
    <w:rsid w:val="00A94BDF"/>
    <w:rsid w:val="00A976FD"/>
    <w:rsid w:val="00AA1BF9"/>
    <w:rsid w:val="00AA4CE0"/>
    <w:rsid w:val="00AA65BF"/>
    <w:rsid w:val="00AB0DF0"/>
    <w:rsid w:val="00AB13F0"/>
    <w:rsid w:val="00AB3639"/>
    <w:rsid w:val="00AB67BB"/>
    <w:rsid w:val="00AC29E3"/>
    <w:rsid w:val="00AC3738"/>
    <w:rsid w:val="00AC678D"/>
    <w:rsid w:val="00AC67F3"/>
    <w:rsid w:val="00AC6CE0"/>
    <w:rsid w:val="00AD6294"/>
    <w:rsid w:val="00AF5BA5"/>
    <w:rsid w:val="00AF6580"/>
    <w:rsid w:val="00B04275"/>
    <w:rsid w:val="00B04F51"/>
    <w:rsid w:val="00B0741A"/>
    <w:rsid w:val="00B11CAC"/>
    <w:rsid w:val="00B144B4"/>
    <w:rsid w:val="00B21E71"/>
    <w:rsid w:val="00B22092"/>
    <w:rsid w:val="00B25382"/>
    <w:rsid w:val="00B33AB0"/>
    <w:rsid w:val="00B41B92"/>
    <w:rsid w:val="00B422FF"/>
    <w:rsid w:val="00B448B5"/>
    <w:rsid w:val="00B4508E"/>
    <w:rsid w:val="00B5264A"/>
    <w:rsid w:val="00B5471A"/>
    <w:rsid w:val="00B57D9B"/>
    <w:rsid w:val="00B639F6"/>
    <w:rsid w:val="00B63A46"/>
    <w:rsid w:val="00B63D73"/>
    <w:rsid w:val="00B64539"/>
    <w:rsid w:val="00B7055C"/>
    <w:rsid w:val="00B72673"/>
    <w:rsid w:val="00B72AAC"/>
    <w:rsid w:val="00B72C49"/>
    <w:rsid w:val="00B81393"/>
    <w:rsid w:val="00B81C92"/>
    <w:rsid w:val="00B92129"/>
    <w:rsid w:val="00BA4361"/>
    <w:rsid w:val="00BB34B4"/>
    <w:rsid w:val="00BB549D"/>
    <w:rsid w:val="00BC511A"/>
    <w:rsid w:val="00BC66D4"/>
    <w:rsid w:val="00BD29E8"/>
    <w:rsid w:val="00BD3BF1"/>
    <w:rsid w:val="00BD6D70"/>
    <w:rsid w:val="00BE1047"/>
    <w:rsid w:val="00BE44C5"/>
    <w:rsid w:val="00BE4DDF"/>
    <w:rsid w:val="00BE66C8"/>
    <w:rsid w:val="00BE7A31"/>
    <w:rsid w:val="00BF11E1"/>
    <w:rsid w:val="00BF2C3E"/>
    <w:rsid w:val="00BF381B"/>
    <w:rsid w:val="00BF50DF"/>
    <w:rsid w:val="00BF5D55"/>
    <w:rsid w:val="00BF6386"/>
    <w:rsid w:val="00BF72D3"/>
    <w:rsid w:val="00BF7498"/>
    <w:rsid w:val="00C0115C"/>
    <w:rsid w:val="00C048FD"/>
    <w:rsid w:val="00C10178"/>
    <w:rsid w:val="00C12647"/>
    <w:rsid w:val="00C12E87"/>
    <w:rsid w:val="00C16676"/>
    <w:rsid w:val="00C17A56"/>
    <w:rsid w:val="00C23277"/>
    <w:rsid w:val="00C24A53"/>
    <w:rsid w:val="00C2549C"/>
    <w:rsid w:val="00C27FAC"/>
    <w:rsid w:val="00C31F20"/>
    <w:rsid w:val="00C32981"/>
    <w:rsid w:val="00C347B3"/>
    <w:rsid w:val="00C40512"/>
    <w:rsid w:val="00C434D5"/>
    <w:rsid w:val="00C439DD"/>
    <w:rsid w:val="00C43FB0"/>
    <w:rsid w:val="00C44CA4"/>
    <w:rsid w:val="00C47154"/>
    <w:rsid w:val="00C50AEB"/>
    <w:rsid w:val="00C513C7"/>
    <w:rsid w:val="00C51D38"/>
    <w:rsid w:val="00C636B0"/>
    <w:rsid w:val="00C70BC4"/>
    <w:rsid w:val="00C71C6B"/>
    <w:rsid w:val="00C729BC"/>
    <w:rsid w:val="00C72DD6"/>
    <w:rsid w:val="00C74E3B"/>
    <w:rsid w:val="00C74F70"/>
    <w:rsid w:val="00C76A2E"/>
    <w:rsid w:val="00C846DF"/>
    <w:rsid w:val="00C84C90"/>
    <w:rsid w:val="00C85408"/>
    <w:rsid w:val="00C91C51"/>
    <w:rsid w:val="00C95C54"/>
    <w:rsid w:val="00C964CB"/>
    <w:rsid w:val="00C96912"/>
    <w:rsid w:val="00C974DA"/>
    <w:rsid w:val="00CA17CC"/>
    <w:rsid w:val="00CA241C"/>
    <w:rsid w:val="00CA2DD0"/>
    <w:rsid w:val="00CA64E1"/>
    <w:rsid w:val="00CB11DD"/>
    <w:rsid w:val="00CB230B"/>
    <w:rsid w:val="00CB330C"/>
    <w:rsid w:val="00CC243B"/>
    <w:rsid w:val="00CC3C24"/>
    <w:rsid w:val="00CC5D58"/>
    <w:rsid w:val="00CC665A"/>
    <w:rsid w:val="00CD07D1"/>
    <w:rsid w:val="00CE001E"/>
    <w:rsid w:val="00CE3ED9"/>
    <w:rsid w:val="00CE7556"/>
    <w:rsid w:val="00CE7858"/>
    <w:rsid w:val="00CF0224"/>
    <w:rsid w:val="00CF0866"/>
    <w:rsid w:val="00CF3779"/>
    <w:rsid w:val="00D013AC"/>
    <w:rsid w:val="00D01964"/>
    <w:rsid w:val="00D04C88"/>
    <w:rsid w:val="00D061DC"/>
    <w:rsid w:val="00D14944"/>
    <w:rsid w:val="00D16D3D"/>
    <w:rsid w:val="00D246A7"/>
    <w:rsid w:val="00D26D01"/>
    <w:rsid w:val="00D27C18"/>
    <w:rsid w:val="00D30405"/>
    <w:rsid w:val="00D30C04"/>
    <w:rsid w:val="00D31BD0"/>
    <w:rsid w:val="00D32066"/>
    <w:rsid w:val="00D3559C"/>
    <w:rsid w:val="00D3606E"/>
    <w:rsid w:val="00D41FC1"/>
    <w:rsid w:val="00D431DC"/>
    <w:rsid w:val="00D46E04"/>
    <w:rsid w:val="00D50948"/>
    <w:rsid w:val="00D54F8F"/>
    <w:rsid w:val="00D55D2C"/>
    <w:rsid w:val="00D56DA7"/>
    <w:rsid w:val="00D57A4E"/>
    <w:rsid w:val="00D61BAF"/>
    <w:rsid w:val="00D6309C"/>
    <w:rsid w:val="00D63A06"/>
    <w:rsid w:val="00D63A17"/>
    <w:rsid w:val="00D65E79"/>
    <w:rsid w:val="00D71058"/>
    <w:rsid w:val="00D73AE1"/>
    <w:rsid w:val="00D76A84"/>
    <w:rsid w:val="00D76BBE"/>
    <w:rsid w:val="00D77C08"/>
    <w:rsid w:val="00D806E3"/>
    <w:rsid w:val="00D8082A"/>
    <w:rsid w:val="00D81373"/>
    <w:rsid w:val="00D81C92"/>
    <w:rsid w:val="00D86FA9"/>
    <w:rsid w:val="00D90D44"/>
    <w:rsid w:val="00DA53E8"/>
    <w:rsid w:val="00DB17D2"/>
    <w:rsid w:val="00DB20AD"/>
    <w:rsid w:val="00DB2CA6"/>
    <w:rsid w:val="00DB3955"/>
    <w:rsid w:val="00DB5912"/>
    <w:rsid w:val="00DB6A07"/>
    <w:rsid w:val="00DB77D5"/>
    <w:rsid w:val="00DB7BBC"/>
    <w:rsid w:val="00DC0133"/>
    <w:rsid w:val="00DC1EB9"/>
    <w:rsid w:val="00DC5AB1"/>
    <w:rsid w:val="00DD04C0"/>
    <w:rsid w:val="00DD050F"/>
    <w:rsid w:val="00DD2EEC"/>
    <w:rsid w:val="00DD2F6A"/>
    <w:rsid w:val="00DD4373"/>
    <w:rsid w:val="00DD712D"/>
    <w:rsid w:val="00DE015D"/>
    <w:rsid w:val="00DE0809"/>
    <w:rsid w:val="00DE16D1"/>
    <w:rsid w:val="00DE4BBD"/>
    <w:rsid w:val="00DE529C"/>
    <w:rsid w:val="00DE572D"/>
    <w:rsid w:val="00DF07FD"/>
    <w:rsid w:val="00DF6736"/>
    <w:rsid w:val="00DF67A6"/>
    <w:rsid w:val="00E264E3"/>
    <w:rsid w:val="00E279F1"/>
    <w:rsid w:val="00E33765"/>
    <w:rsid w:val="00E33F21"/>
    <w:rsid w:val="00E36D53"/>
    <w:rsid w:val="00E37A97"/>
    <w:rsid w:val="00E422CB"/>
    <w:rsid w:val="00E43546"/>
    <w:rsid w:val="00E457C1"/>
    <w:rsid w:val="00E464F3"/>
    <w:rsid w:val="00E52E12"/>
    <w:rsid w:val="00E56544"/>
    <w:rsid w:val="00E65DCB"/>
    <w:rsid w:val="00E7739C"/>
    <w:rsid w:val="00E81484"/>
    <w:rsid w:val="00E81C18"/>
    <w:rsid w:val="00E84C46"/>
    <w:rsid w:val="00E860C1"/>
    <w:rsid w:val="00E8708E"/>
    <w:rsid w:val="00E941CF"/>
    <w:rsid w:val="00E95349"/>
    <w:rsid w:val="00E95483"/>
    <w:rsid w:val="00E97D60"/>
    <w:rsid w:val="00EA00A6"/>
    <w:rsid w:val="00EA4B89"/>
    <w:rsid w:val="00EA55A7"/>
    <w:rsid w:val="00EB01DB"/>
    <w:rsid w:val="00EB40B6"/>
    <w:rsid w:val="00EB4BE9"/>
    <w:rsid w:val="00EB4D0B"/>
    <w:rsid w:val="00EB542D"/>
    <w:rsid w:val="00EB73C2"/>
    <w:rsid w:val="00EC00A1"/>
    <w:rsid w:val="00EC2E86"/>
    <w:rsid w:val="00ED44B2"/>
    <w:rsid w:val="00EE2420"/>
    <w:rsid w:val="00EE4E57"/>
    <w:rsid w:val="00EE7F15"/>
    <w:rsid w:val="00EF3289"/>
    <w:rsid w:val="00EF38B9"/>
    <w:rsid w:val="00F00FC3"/>
    <w:rsid w:val="00F03277"/>
    <w:rsid w:val="00F12638"/>
    <w:rsid w:val="00F14A77"/>
    <w:rsid w:val="00F15582"/>
    <w:rsid w:val="00F16E2E"/>
    <w:rsid w:val="00F20B1B"/>
    <w:rsid w:val="00F2431E"/>
    <w:rsid w:val="00F25431"/>
    <w:rsid w:val="00F401E3"/>
    <w:rsid w:val="00F4062B"/>
    <w:rsid w:val="00F41350"/>
    <w:rsid w:val="00F4385E"/>
    <w:rsid w:val="00F5090C"/>
    <w:rsid w:val="00F54788"/>
    <w:rsid w:val="00F5494F"/>
    <w:rsid w:val="00F571B9"/>
    <w:rsid w:val="00F57BFC"/>
    <w:rsid w:val="00F60630"/>
    <w:rsid w:val="00F621B6"/>
    <w:rsid w:val="00F62361"/>
    <w:rsid w:val="00F674BD"/>
    <w:rsid w:val="00F733CE"/>
    <w:rsid w:val="00F747E6"/>
    <w:rsid w:val="00F74DEA"/>
    <w:rsid w:val="00F7717C"/>
    <w:rsid w:val="00F82284"/>
    <w:rsid w:val="00F850CE"/>
    <w:rsid w:val="00F916A8"/>
    <w:rsid w:val="00F918E0"/>
    <w:rsid w:val="00F962B1"/>
    <w:rsid w:val="00FA03B7"/>
    <w:rsid w:val="00FA3434"/>
    <w:rsid w:val="00FA392E"/>
    <w:rsid w:val="00FA3D37"/>
    <w:rsid w:val="00FA52A1"/>
    <w:rsid w:val="00FA5B8C"/>
    <w:rsid w:val="00FA7313"/>
    <w:rsid w:val="00FB0C27"/>
    <w:rsid w:val="00FB173D"/>
    <w:rsid w:val="00FB180D"/>
    <w:rsid w:val="00FB342E"/>
    <w:rsid w:val="00FB39F0"/>
    <w:rsid w:val="00FC0D4F"/>
    <w:rsid w:val="00FC3441"/>
    <w:rsid w:val="00FC45EB"/>
    <w:rsid w:val="00FC5AF2"/>
    <w:rsid w:val="00FC7EF4"/>
    <w:rsid w:val="00FD2A95"/>
    <w:rsid w:val="00FD5189"/>
    <w:rsid w:val="00FD731C"/>
    <w:rsid w:val="00FE57B2"/>
    <w:rsid w:val="00FE7BDE"/>
    <w:rsid w:val="00FF252A"/>
    <w:rsid w:val="00FF3461"/>
    <w:rsid w:val="00FF36F5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037BC-F3C6-44A1-9534-0B2BDB51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C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E941CF"/>
    <w:pPr>
      <w:keepNext/>
      <w:keepLines/>
      <w:spacing w:before="200" w:line="240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941C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1CF"/>
    <w:rPr>
      <w:rFonts w:cs="Times New Roman"/>
    </w:rPr>
  </w:style>
  <w:style w:type="character" w:styleId="a3">
    <w:name w:val="Hyperlink"/>
    <w:basedOn w:val="a0"/>
    <w:uiPriority w:val="99"/>
    <w:semiHidden/>
    <w:rsid w:val="00E941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941CF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9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9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at.knmu.edu.ua/cgi-bin/irbis64r_12/cgiirbis_64.exe?LNG=&amp;Z21ID=&amp;I21DBN=IBIS&amp;P21DBN=IBIS&amp;S21STN=1&amp;S21REF=1&amp;S21FMT=fullwebr&amp;C21COM=S&amp;S21CNR=20&amp;S21P01=0&amp;S21P02=1&amp;S21P03=A=&amp;S21STR=%D0%93%D1%80%D0%B8%D0%BD%D1%8E%D0%BA,%20%D0%A1.%20%D0%9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Пользователь</cp:lastModifiedBy>
  <cp:revision>7</cp:revision>
  <cp:lastPrinted>2015-11-11T07:51:00Z</cp:lastPrinted>
  <dcterms:created xsi:type="dcterms:W3CDTF">2015-04-29T13:28:00Z</dcterms:created>
  <dcterms:modified xsi:type="dcterms:W3CDTF">2015-11-11T10:44:00Z</dcterms:modified>
</cp:coreProperties>
</file>