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24A" w:rsidRDefault="0055324A" w:rsidP="00AA7CA5">
      <w:pPr>
        <w:spacing w:line="240" w:lineRule="auto"/>
        <w:ind w:left="1134" w:right="1134"/>
        <w:jc w:val="both"/>
        <w:rPr>
          <w:rFonts w:ascii="Times New Roman" w:hAnsi="Times New Roman"/>
          <w:sz w:val="24"/>
          <w:szCs w:val="24"/>
          <w:lang w:val="ru-RU"/>
        </w:rPr>
      </w:pPr>
    </w:p>
    <w:p w:rsidR="0055324A" w:rsidRPr="005A756F" w:rsidRDefault="0055324A" w:rsidP="005A756F">
      <w:pPr>
        <w:autoSpaceDE w:val="0"/>
        <w:autoSpaceDN w:val="0"/>
        <w:adjustRightInd w:val="0"/>
        <w:spacing w:after="0" w:line="240" w:lineRule="auto"/>
        <w:jc w:val="center"/>
        <w:rPr>
          <w:rFonts w:ascii="Times New Roman" w:hAnsi="Times New Roman"/>
          <w:color w:val="252525"/>
          <w:sz w:val="24"/>
          <w:szCs w:val="24"/>
          <w:shd w:val="clear" w:color="auto" w:fill="FFFFFF"/>
          <w:lang w:val="en-US"/>
        </w:rPr>
      </w:pPr>
      <w:r w:rsidRPr="005A756F">
        <w:rPr>
          <w:rFonts w:ascii="Times New Roman" w:hAnsi="Times New Roman"/>
          <w:sz w:val="24"/>
          <w:szCs w:val="24"/>
          <w:lang w:val="en-US"/>
        </w:rPr>
        <w:t>*</w:t>
      </w:r>
      <w:r w:rsidRPr="005A756F">
        <w:rPr>
          <w:rFonts w:ascii="Times New Roman" w:hAnsi="Times New Roman"/>
          <w:color w:val="252525"/>
          <w:sz w:val="24"/>
          <w:szCs w:val="24"/>
          <w:shd w:val="clear" w:color="auto" w:fill="FFFFFF"/>
          <w:lang w:val="en-US"/>
        </w:rPr>
        <w:t xml:space="preserve"> </w:t>
      </w:r>
      <w:r w:rsidRPr="005A756F">
        <w:rPr>
          <w:rFonts w:ascii="Times New Roman" w:hAnsi="Times New Roman"/>
          <w:color w:val="252525"/>
          <w:sz w:val="24"/>
          <w:szCs w:val="24"/>
          <w:shd w:val="clear" w:color="auto" w:fill="FFFFFF"/>
        </w:rPr>
        <w:t>GORDIYCHUK</w:t>
      </w:r>
      <w:r w:rsidRPr="005A756F">
        <w:rPr>
          <w:rFonts w:ascii="Times New Roman" w:hAnsi="Times New Roman"/>
          <w:color w:val="252525"/>
          <w:sz w:val="24"/>
          <w:szCs w:val="24"/>
          <w:shd w:val="clear" w:color="auto" w:fill="FFFFFF"/>
          <w:lang w:val="en-US"/>
        </w:rPr>
        <w:t xml:space="preserve"> </w:t>
      </w:r>
      <w:r w:rsidRPr="005A756F">
        <w:rPr>
          <w:rFonts w:ascii="Times New Roman" w:hAnsi="Times New Roman"/>
          <w:color w:val="252525"/>
          <w:sz w:val="24"/>
          <w:szCs w:val="24"/>
          <w:shd w:val="clear" w:color="auto" w:fill="FFFFFF"/>
        </w:rPr>
        <w:t>DARIYA</w:t>
      </w:r>
      <w:r w:rsidRPr="005A756F">
        <w:rPr>
          <w:rFonts w:ascii="Times New Roman" w:hAnsi="Times New Roman"/>
          <w:color w:val="252525"/>
          <w:sz w:val="24"/>
          <w:szCs w:val="24"/>
          <w:shd w:val="clear" w:color="auto" w:fill="FFFFFF"/>
          <w:lang w:val="en-US"/>
        </w:rPr>
        <w:t xml:space="preserve">  </w:t>
      </w:r>
      <w:r w:rsidRPr="005A756F">
        <w:rPr>
          <w:rFonts w:ascii="Times New Roman" w:hAnsi="Times New Roman"/>
          <w:color w:val="252525"/>
          <w:sz w:val="24"/>
          <w:szCs w:val="24"/>
          <w:shd w:val="clear" w:color="auto" w:fill="FFFFFF"/>
        </w:rPr>
        <w:t>A</w:t>
      </w:r>
      <w:r w:rsidRPr="005A756F">
        <w:rPr>
          <w:rFonts w:ascii="Times New Roman" w:hAnsi="Times New Roman"/>
          <w:color w:val="252525"/>
          <w:sz w:val="24"/>
          <w:szCs w:val="24"/>
          <w:shd w:val="clear" w:color="auto" w:fill="FFFFFF"/>
          <w:lang w:val="en-US"/>
        </w:rPr>
        <w:t>., **</w:t>
      </w:r>
      <w:r>
        <w:rPr>
          <w:rFonts w:ascii="Times New Roman" w:hAnsi="Times New Roman"/>
          <w:sz w:val="24"/>
          <w:szCs w:val="24"/>
          <w:lang w:val="en-US"/>
        </w:rPr>
        <w:t xml:space="preserve"> AHMED RALIAT</w:t>
      </w:r>
      <w:r w:rsidRPr="005A756F">
        <w:rPr>
          <w:rFonts w:ascii="Times New Roman" w:hAnsi="Times New Roman"/>
          <w:sz w:val="24"/>
          <w:szCs w:val="24"/>
          <w:lang w:val="en-US"/>
        </w:rPr>
        <w:t xml:space="preserve"> B.</w:t>
      </w:r>
    </w:p>
    <w:p w:rsidR="0055324A" w:rsidRPr="005A756F" w:rsidRDefault="0055324A" w:rsidP="005A756F">
      <w:pPr>
        <w:autoSpaceDE w:val="0"/>
        <w:autoSpaceDN w:val="0"/>
        <w:adjustRightInd w:val="0"/>
        <w:spacing w:after="0" w:line="240" w:lineRule="auto"/>
        <w:jc w:val="center"/>
        <w:rPr>
          <w:rFonts w:ascii="Times New Roman" w:hAnsi="Times New Roman"/>
          <w:color w:val="252525"/>
          <w:sz w:val="24"/>
          <w:szCs w:val="24"/>
          <w:shd w:val="clear" w:color="auto" w:fill="FFFFFF"/>
          <w:lang w:val="en-US"/>
        </w:rPr>
      </w:pPr>
      <w:r w:rsidRPr="005A756F">
        <w:rPr>
          <w:rFonts w:ascii="Times New Roman" w:hAnsi="Times New Roman"/>
          <w:color w:val="252525"/>
          <w:sz w:val="24"/>
          <w:szCs w:val="24"/>
          <w:shd w:val="clear" w:color="auto" w:fill="FFFFFF"/>
          <w:lang w:val="en-US"/>
        </w:rPr>
        <w:t>***</w:t>
      </w:r>
      <w:r>
        <w:rPr>
          <w:rFonts w:ascii="Times New Roman" w:hAnsi="Times New Roman"/>
          <w:sz w:val="24"/>
          <w:szCs w:val="24"/>
          <w:lang w:val="en-US"/>
        </w:rPr>
        <w:t xml:space="preserve"> SALAWU KHAIRAT</w:t>
      </w:r>
      <w:r w:rsidRPr="005A756F">
        <w:rPr>
          <w:rFonts w:ascii="Times New Roman" w:hAnsi="Times New Roman"/>
          <w:sz w:val="24"/>
          <w:szCs w:val="24"/>
          <w:lang w:val="en-US"/>
        </w:rPr>
        <w:t xml:space="preserve"> T.</w:t>
      </w:r>
    </w:p>
    <w:p w:rsidR="0055324A" w:rsidRPr="00AA7CA5" w:rsidRDefault="0055324A" w:rsidP="005A756F">
      <w:pPr>
        <w:spacing w:after="0" w:line="240" w:lineRule="auto"/>
        <w:ind w:left="1134" w:right="1134"/>
        <w:jc w:val="center"/>
        <w:rPr>
          <w:rFonts w:ascii="Times New Roman" w:hAnsi="Times New Roman"/>
          <w:sz w:val="24"/>
          <w:szCs w:val="24"/>
        </w:rPr>
      </w:pPr>
      <w:r w:rsidRPr="00AA7CA5">
        <w:rPr>
          <w:rFonts w:ascii="Times New Roman" w:hAnsi="Times New Roman"/>
          <w:sz w:val="24"/>
          <w:szCs w:val="24"/>
        </w:rPr>
        <w:t>ACETYLCYSTEINE AS AN IMPORTANT  PANACEA.</w:t>
      </w:r>
    </w:p>
    <w:p w:rsidR="0055324A" w:rsidRPr="005A756F" w:rsidRDefault="0055324A" w:rsidP="005A756F">
      <w:pPr>
        <w:spacing w:after="0" w:line="240" w:lineRule="auto"/>
        <w:ind w:left="1134" w:right="1134"/>
        <w:jc w:val="center"/>
        <w:rPr>
          <w:rFonts w:ascii="Times New Roman" w:hAnsi="Times New Roman"/>
          <w:sz w:val="24"/>
          <w:szCs w:val="24"/>
          <w:lang w:val="ru-RU"/>
        </w:rPr>
      </w:pPr>
      <w:smartTag w:uri="urn:schemas-microsoft-com:office:smarttags" w:element="PlaceName">
        <w:r w:rsidRPr="0000336C">
          <w:rPr>
            <w:rFonts w:ascii="Times New Roman" w:hAnsi="Times New Roman"/>
            <w:sz w:val="24"/>
            <w:szCs w:val="24"/>
          </w:rPr>
          <w:t>KHARKIV</w:t>
        </w:r>
      </w:smartTag>
      <w:r w:rsidRPr="0000336C">
        <w:rPr>
          <w:rFonts w:ascii="Times New Roman" w:hAnsi="Times New Roman"/>
          <w:sz w:val="24"/>
          <w:szCs w:val="24"/>
        </w:rPr>
        <w:t xml:space="preserve">  </w:t>
      </w:r>
      <w:smartTag w:uri="urn:schemas-microsoft-com:office:smarttags" w:element="PlaceName">
        <w:r w:rsidRPr="0000336C">
          <w:rPr>
            <w:rFonts w:ascii="Times New Roman" w:hAnsi="Times New Roman"/>
            <w:sz w:val="24"/>
            <w:szCs w:val="24"/>
          </w:rPr>
          <w:t>NATIONAL</w:t>
        </w:r>
      </w:smartTag>
      <w:r w:rsidRPr="0000336C">
        <w:rPr>
          <w:rFonts w:ascii="Times New Roman" w:hAnsi="Times New Roman"/>
          <w:sz w:val="24"/>
          <w:szCs w:val="24"/>
        </w:rPr>
        <w:t xml:space="preserve"> </w:t>
      </w:r>
      <w:smartTag w:uri="urn:schemas-microsoft-com:office:smarttags" w:element="PlaceName">
        <w:r w:rsidRPr="0000336C">
          <w:rPr>
            <w:rFonts w:ascii="Times New Roman" w:hAnsi="Times New Roman"/>
            <w:sz w:val="24"/>
            <w:szCs w:val="24"/>
          </w:rPr>
          <w:t>MEDICAL</w:t>
        </w:r>
      </w:smartTag>
      <w:r w:rsidRPr="0000336C">
        <w:rPr>
          <w:rFonts w:ascii="Times New Roman" w:hAnsi="Times New Roman"/>
          <w:sz w:val="24"/>
          <w:szCs w:val="24"/>
        </w:rPr>
        <w:t xml:space="preserve"> </w:t>
      </w:r>
      <w:smartTag w:uri="urn:schemas-microsoft-com:office:smarttags" w:element="PlaceType">
        <w:r w:rsidRPr="0000336C">
          <w:rPr>
            <w:rFonts w:ascii="Times New Roman" w:hAnsi="Times New Roman"/>
            <w:sz w:val="24"/>
            <w:szCs w:val="24"/>
          </w:rPr>
          <w:t>UNIVERSITY</w:t>
        </w:r>
      </w:smartTag>
      <w:r w:rsidRPr="0000336C">
        <w:rPr>
          <w:rFonts w:ascii="Times New Roman" w:hAnsi="Times New Roman"/>
          <w:sz w:val="24"/>
          <w:szCs w:val="24"/>
        </w:rPr>
        <w:t xml:space="preserve"> (DEPARTMENT OF  PHARMACOLOGY AND MEDICAL PRESCRIPTION), </w:t>
      </w:r>
      <w:smartTag w:uri="urn:schemas-microsoft-com:office:smarttags" w:element="place">
        <w:smartTag w:uri="urn:schemas-microsoft-com:office:smarttags" w:element="City">
          <w:r w:rsidRPr="0000336C">
            <w:rPr>
              <w:rFonts w:ascii="Times New Roman" w:hAnsi="Times New Roman"/>
              <w:sz w:val="24"/>
              <w:szCs w:val="24"/>
            </w:rPr>
            <w:t>KHARKIV</w:t>
          </w:r>
        </w:smartTag>
        <w:r w:rsidRPr="0000336C">
          <w:rPr>
            <w:rFonts w:ascii="Times New Roman" w:hAnsi="Times New Roman"/>
            <w:sz w:val="24"/>
            <w:szCs w:val="24"/>
          </w:rPr>
          <w:t xml:space="preserve">, </w:t>
        </w:r>
        <w:smartTag w:uri="urn:schemas-microsoft-com:office:smarttags" w:element="country-region">
          <w:r w:rsidRPr="00B03F97">
            <w:rPr>
              <w:rFonts w:ascii="Times New Roman" w:hAnsi="Times New Roman"/>
              <w:sz w:val="24"/>
              <w:szCs w:val="24"/>
            </w:rPr>
            <w:t>UKRAINE</w:t>
          </w:r>
        </w:smartTag>
      </w:smartTag>
      <w:r w:rsidRPr="00B03F97">
        <w:rPr>
          <w:rFonts w:ascii="Times New Roman" w:hAnsi="Times New Roman"/>
          <w:sz w:val="24"/>
          <w:szCs w:val="24"/>
        </w:rPr>
        <w:t>.</w:t>
      </w:r>
    </w:p>
    <w:p w:rsidR="0055324A" w:rsidRDefault="0055324A" w:rsidP="005A756F">
      <w:pPr>
        <w:tabs>
          <w:tab w:val="left" w:pos="9638"/>
        </w:tabs>
        <w:spacing w:after="0" w:line="240" w:lineRule="auto"/>
        <w:ind w:right="-82" w:firstLine="540"/>
        <w:jc w:val="both"/>
        <w:rPr>
          <w:rFonts w:ascii="Times New Roman" w:hAnsi="Times New Roman"/>
          <w:sz w:val="24"/>
          <w:szCs w:val="24"/>
        </w:rPr>
      </w:pPr>
      <w:r>
        <w:rPr>
          <w:rFonts w:ascii="Times New Roman" w:hAnsi="Times New Roman"/>
          <w:sz w:val="24"/>
          <w:szCs w:val="24"/>
        </w:rPr>
        <w:t>Acetylcysteine</w:t>
      </w:r>
      <w:r w:rsidRPr="00AA7CA5">
        <w:rPr>
          <w:rFonts w:ascii="Times New Roman" w:hAnsi="Times New Roman"/>
          <w:sz w:val="24"/>
          <w:szCs w:val="24"/>
        </w:rPr>
        <w:t xml:space="preserve"> also known as N-acetyl-L-cysteine (NAC) is pharmaceutical drug and nutrition supplement used primarily as a mucolytic</w:t>
      </w:r>
      <w:r>
        <w:rPr>
          <w:rFonts w:ascii="Times New Roman" w:hAnsi="Times New Roman"/>
          <w:sz w:val="24"/>
          <w:szCs w:val="24"/>
        </w:rPr>
        <w:t xml:space="preserve"> agent and in the management of</w:t>
      </w:r>
      <w:r w:rsidRPr="00AA7CA5">
        <w:rPr>
          <w:rFonts w:ascii="Times New Roman" w:hAnsi="Times New Roman"/>
          <w:sz w:val="24"/>
          <w:szCs w:val="24"/>
        </w:rPr>
        <w:t xml:space="preserve"> acetaminophen (paracetamol) poisoning. It is on the WHO’s list of Essential Medicines. Some of the numerous pharmacological effects of acetylcysteine are antioxidant, antiradical, membrane stabilizing, detoxicating, immunomodulatory, anti-inflammatory actions.</w:t>
      </w:r>
    </w:p>
    <w:p w:rsidR="0055324A" w:rsidRPr="00DD3C14" w:rsidRDefault="0055324A" w:rsidP="005A756F">
      <w:pPr>
        <w:tabs>
          <w:tab w:val="left" w:pos="9638"/>
        </w:tabs>
        <w:spacing w:after="0" w:line="240" w:lineRule="auto"/>
        <w:ind w:right="-82" w:firstLine="540"/>
        <w:jc w:val="both"/>
        <w:rPr>
          <w:rFonts w:ascii="Times New Roman" w:hAnsi="Times New Roman"/>
          <w:sz w:val="24"/>
          <w:szCs w:val="24"/>
        </w:rPr>
      </w:pPr>
      <w:r>
        <w:rPr>
          <w:rFonts w:ascii="Times New Roman" w:hAnsi="Times New Roman"/>
          <w:sz w:val="24"/>
          <w:szCs w:val="24"/>
        </w:rPr>
        <w:t xml:space="preserve">So the target of our work is a </w:t>
      </w:r>
      <w:r w:rsidRPr="00DD3C14">
        <w:rPr>
          <w:rFonts w:ascii="Times New Roman" w:hAnsi="Times New Roman"/>
          <w:sz w:val="24"/>
          <w:szCs w:val="24"/>
        </w:rPr>
        <w:t>justification of the pharmacodynamic effects of acetylcysteine at various urgent conditions in medicine.</w:t>
      </w:r>
    </w:p>
    <w:p w:rsidR="0055324A" w:rsidRDefault="0055324A" w:rsidP="005A756F">
      <w:pPr>
        <w:tabs>
          <w:tab w:val="left" w:pos="9638"/>
        </w:tabs>
        <w:spacing w:after="0" w:line="240" w:lineRule="auto"/>
        <w:ind w:right="-82" w:firstLine="540"/>
        <w:jc w:val="both"/>
        <w:rPr>
          <w:rFonts w:ascii="Times New Roman" w:hAnsi="Times New Roman"/>
          <w:sz w:val="24"/>
          <w:szCs w:val="24"/>
        </w:rPr>
      </w:pPr>
      <w:r w:rsidRPr="00AA7CA5">
        <w:rPr>
          <w:rFonts w:ascii="Times New Roman" w:hAnsi="Times New Roman"/>
          <w:sz w:val="24"/>
          <w:szCs w:val="24"/>
        </w:rPr>
        <w:t xml:space="preserve">When large doses of </w:t>
      </w:r>
      <w:r>
        <w:rPr>
          <w:rFonts w:ascii="Times New Roman" w:hAnsi="Times New Roman"/>
          <w:sz w:val="24"/>
          <w:szCs w:val="24"/>
          <w:lang w:val="en-US"/>
        </w:rPr>
        <w:t>a</w:t>
      </w:r>
      <w:r w:rsidRPr="00AA7CA5">
        <w:rPr>
          <w:rFonts w:ascii="Times New Roman" w:hAnsi="Times New Roman"/>
          <w:sz w:val="24"/>
          <w:szCs w:val="24"/>
        </w:rPr>
        <w:t xml:space="preserve">cetaminophen is taken, N-acetyl-p-benzoquinone imine accumulates in the body and it is usually conjugated by glutathione, but due to its excess, the reserved glutathione in the body is not sufficient because of the excess of it to inactivate it, making it free to react with hepatic enzyme leading to the damage of hepatocytes. When acetylcysteine is administered, it acts to maintain or replenish depleted glutathione reserves in the liver and enhance non-toxic metabolism of acetaminophen. In conditions like </w:t>
      </w:r>
      <w:r w:rsidRPr="005A756F">
        <w:rPr>
          <w:rFonts w:ascii="Times New Roman" w:hAnsi="Times New Roman"/>
          <w:sz w:val="24"/>
          <w:szCs w:val="24"/>
        </w:rPr>
        <w:t>chronic obstructive pulmonary disease</w:t>
      </w:r>
      <w:r>
        <w:rPr>
          <w:rFonts w:ascii="Times New Roman" w:hAnsi="Times New Roman"/>
          <w:sz w:val="24"/>
          <w:szCs w:val="24"/>
        </w:rPr>
        <w:t xml:space="preserve"> (</w:t>
      </w:r>
      <w:r w:rsidRPr="00AA7CA5">
        <w:rPr>
          <w:rFonts w:ascii="Times New Roman" w:hAnsi="Times New Roman"/>
          <w:sz w:val="24"/>
          <w:szCs w:val="24"/>
        </w:rPr>
        <w:t>COPD</w:t>
      </w:r>
      <w:r>
        <w:rPr>
          <w:rFonts w:ascii="Times New Roman" w:hAnsi="Times New Roman"/>
          <w:sz w:val="24"/>
          <w:szCs w:val="24"/>
        </w:rPr>
        <w:t>)</w:t>
      </w:r>
      <w:r w:rsidRPr="00AA7CA5">
        <w:rPr>
          <w:rFonts w:ascii="Times New Roman" w:hAnsi="Times New Roman"/>
          <w:sz w:val="24"/>
          <w:szCs w:val="24"/>
        </w:rPr>
        <w:t xml:space="preserve">, emphysema, pneumonia, bronchitis, tuberculosis and bronchiectasis with production of excessive and thick mucus, inhaled acetylcysteine is normally used for mucolytic therapy as an adjuvant for the above respiratory conditions, due to splitting disulphide bonds linking proteins present in the mucus (mucoproteins) to reduce the symptoms, exacerbations and the accelerated lung function decline. </w:t>
      </w:r>
    </w:p>
    <w:p w:rsidR="0055324A" w:rsidRDefault="0055324A" w:rsidP="005A756F">
      <w:pPr>
        <w:tabs>
          <w:tab w:val="left" w:pos="9638"/>
        </w:tabs>
        <w:spacing w:after="0" w:line="240" w:lineRule="auto"/>
        <w:ind w:right="-82" w:firstLine="540"/>
        <w:jc w:val="both"/>
        <w:rPr>
          <w:sz w:val="24"/>
          <w:szCs w:val="24"/>
        </w:rPr>
      </w:pPr>
      <w:r w:rsidRPr="00AA7CA5">
        <w:rPr>
          <w:rFonts w:ascii="Times New Roman" w:hAnsi="Times New Roman"/>
          <w:sz w:val="24"/>
          <w:szCs w:val="24"/>
        </w:rPr>
        <w:t xml:space="preserve">In diseases like </w:t>
      </w:r>
      <w:r>
        <w:rPr>
          <w:rFonts w:ascii="Times New Roman" w:hAnsi="Times New Roman"/>
          <w:sz w:val="24"/>
          <w:szCs w:val="24"/>
        </w:rPr>
        <w:t>n</w:t>
      </w:r>
      <w:r w:rsidRPr="00AA7CA5">
        <w:rPr>
          <w:rFonts w:ascii="Times New Roman" w:hAnsi="Times New Roman"/>
          <w:sz w:val="24"/>
          <w:szCs w:val="24"/>
        </w:rPr>
        <w:t>eurodegenerative disorders, down syndrome, multiple sclerosis, Parkinson’s disease, Huntington’s disease, Alzheimer’s disease, focal cerebral ischemia, subarachnoid haemorrhage and traumatic brain injuries</w:t>
      </w:r>
      <w:r>
        <w:rPr>
          <w:rFonts w:ascii="Times New Roman" w:hAnsi="Times New Roman"/>
          <w:sz w:val="24"/>
          <w:szCs w:val="24"/>
        </w:rPr>
        <w:t xml:space="preserve"> an</w:t>
      </w:r>
      <w:r w:rsidRPr="00AA7CA5">
        <w:rPr>
          <w:rFonts w:ascii="Times New Roman" w:hAnsi="Times New Roman"/>
          <w:sz w:val="24"/>
          <w:szCs w:val="24"/>
        </w:rPr>
        <w:t xml:space="preserve"> </w:t>
      </w:r>
      <w:r>
        <w:rPr>
          <w:rFonts w:ascii="Times New Roman" w:hAnsi="Times New Roman"/>
          <w:sz w:val="24"/>
          <w:szCs w:val="24"/>
        </w:rPr>
        <w:t>a</w:t>
      </w:r>
      <w:r w:rsidRPr="00AA7CA5">
        <w:rPr>
          <w:rFonts w:ascii="Times New Roman" w:hAnsi="Times New Roman"/>
          <w:sz w:val="24"/>
          <w:szCs w:val="24"/>
        </w:rPr>
        <w:t>cetylcysteine exerts its action by increasing the level of glutathione peroxidase, free radical scavenging and by increasing the level of superoxide dismutase.</w:t>
      </w:r>
      <w:r w:rsidRPr="00AA7CA5">
        <w:rPr>
          <w:sz w:val="24"/>
          <w:szCs w:val="24"/>
        </w:rPr>
        <w:t xml:space="preserve"> </w:t>
      </w:r>
    </w:p>
    <w:p w:rsidR="0055324A" w:rsidRDefault="0055324A" w:rsidP="005A756F">
      <w:pPr>
        <w:tabs>
          <w:tab w:val="left" w:pos="9638"/>
        </w:tabs>
        <w:spacing w:after="0" w:line="240" w:lineRule="auto"/>
        <w:ind w:right="-82" w:firstLine="540"/>
        <w:jc w:val="both"/>
        <w:rPr>
          <w:sz w:val="24"/>
          <w:szCs w:val="24"/>
        </w:rPr>
      </w:pPr>
      <w:r w:rsidRPr="00AA7CA5">
        <w:rPr>
          <w:rFonts w:ascii="Times New Roman" w:hAnsi="Times New Roman"/>
          <w:sz w:val="24"/>
          <w:szCs w:val="24"/>
        </w:rPr>
        <w:t>Acetylcysteine inhibits homocysteine enha</w:t>
      </w:r>
      <w:r>
        <w:rPr>
          <w:rFonts w:ascii="Times New Roman" w:hAnsi="Times New Roman"/>
          <w:sz w:val="24"/>
          <w:szCs w:val="24"/>
        </w:rPr>
        <w:t>nced expression of an oxidized-</w:t>
      </w:r>
      <w:r w:rsidRPr="00AA7CA5">
        <w:rPr>
          <w:rFonts w:ascii="Times New Roman" w:hAnsi="Times New Roman"/>
          <w:sz w:val="24"/>
          <w:szCs w:val="24"/>
        </w:rPr>
        <w:t>LDL recep</w:t>
      </w:r>
      <w:r>
        <w:rPr>
          <w:rFonts w:ascii="Times New Roman" w:hAnsi="Times New Roman"/>
          <w:sz w:val="24"/>
          <w:szCs w:val="24"/>
        </w:rPr>
        <w:t>tor, inhibits metalloproteinase</w:t>
      </w:r>
      <w:r w:rsidRPr="00AA7CA5">
        <w:rPr>
          <w:rFonts w:ascii="Times New Roman" w:hAnsi="Times New Roman"/>
          <w:sz w:val="24"/>
          <w:szCs w:val="24"/>
        </w:rPr>
        <w:t>-9</w:t>
      </w:r>
      <w:r>
        <w:rPr>
          <w:rFonts w:ascii="Times New Roman" w:hAnsi="Times New Roman"/>
          <w:sz w:val="24"/>
          <w:szCs w:val="24"/>
        </w:rPr>
        <w:t xml:space="preserve"> </w:t>
      </w:r>
      <w:r w:rsidRPr="00AA7CA5">
        <w:rPr>
          <w:rFonts w:ascii="Times New Roman" w:hAnsi="Times New Roman"/>
          <w:sz w:val="24"/>
          <w:szCs w:val="24"/>
        </w:rPr>
        <w:t>(gelatinase B) activity and expression in lipid-laden macrophage-derived foam cell by 60%, thereby demonstrating a potential for antioxidant to stabilize vulnerable atherosclerotic plaques.</w:t>
      </w:r>
      <w:r w:rsidRPr="00AA7CA5">
        <w:rPr>
          <w:sz w:val="24"/>
          <w:szCs w:val="24"/>
        </w:rPr>
        <w:t xml:space="preserve"> </w:t>
      </w:r>
    </w:p>
    <w:p w:rsidR="0055324A" w:rsidRPr="00AA7CA5" w:rsidRDefault="0055324A" w:rsidP="005A756F">
      <w:pPr>
        <w:tabs>
          <w:tab w:val="left" w:pos="9638"/>
        </w:tabs>
        <w:spacing w:after="0" w:line="240" w:lineRule="auto"/>
        <w:ind w:right="-82" w:firstLine="540"/>
        <w:jc w:val="both"/>
        <w:rPr>
          <w:rFonts w:ascii="Times New Roman" w:hAnsi="Times New Roman"/>
          <w:sz w:val="24"/>
          <w:szCs w:val="24"/>
        </w:rPr>
      </w:pPr>
      <w:r w:rsidRPr="00AA7CA5">
        <w:rPr>
          <w:rFonts w:ascii="Times New Roman" w:hAnsi="Times New Roman"/>
          <w:sz w:val="24"/>
          <w:szCs w:val="24"/>
        </w:rPr>
        <w:t>Oral acetylcysteine is used for the prevention of radiocontrast-induced nephropathy (a form of acute renal failure). Acetylcysteine protects patients with moderate chronic renal insufficiency from contrast-induced deterioration in renal function after coronary angiographic procedures, with minimal adverse effects and at a low cost. Years of studies shows acetylcysteine’s ability of treating and preventing the cause of chronic generalised periondontitis due to its antioxidant, antiradical and membrane stabilizing properties.</w:t>
      </w:r>
    </w:p>
    <w:p w:rsidR="0055324A" w:rsidRPr="00AA7CA5" w:rsidRDefault="0055324A" w:rsidP="005A756F">
      <w:pPr>
        <w:pStyle w:val="ListParagraph"/>
        <w:tabs>
          <w:tab w:val="left" w:pos="9638"/>
        </w:tabs>
        <w:spacing w:after="0" w:line="240" w:lineRule="auto"/>
        <w:ind w:left="0" w:right="-82" w:firstLine="540"/>
        <w:jc w:val="both"/>
        <w:rPr>
          <w:rFonts w:ascii="Times New Roman" w:hAnsi="Times New Roman"/>
          <w:sz w:val="24"/>
          <w:szCs w:val="24"/>
        </w:rPr>
      </w:pPr>
      <w:r w:rsidRPr="00AA7CA5">
        <w:rPr>
          <w:rFonts w:ascii="Times New Roman" w:hAnsi="Times New Roman"/>
          <w:sz w:val="24"/>
          <w:szCs w:val="24"/>
        </w:rPr>
        <w:t>In conclusion acetylcysteine has a broad spectrum of actions and possible applications across multiple conditions and systems. As a drug, it represents the ideal xenobiotic, capable of directly entering endogenous biochemical processes as a result of its own metabolism. So further scientific investigations should be directed in new findings of possible acetylcysteine pharmacodynamics effect in case of different urgent medical problems.</w:t>
      </w:r>
    </w:p>
    <w:p w:rsidR="0055324A" w:rsidRPr="00AA7CA5" w:rsidRDefault="0055324A" w:rsidP="005A756F">
      <w:pPr>
        <w:spacing w:after="100" w:afterAutospacing="1" w:line="240" w:lineRule="auto"/>
        <w:ind w:left="1134" w:right="1134"/>
        <w:jc w:val="both"/>
        <w:rPr>
          <w:rFonts w:ascii="Times New Roman" w:hAnsi="Times New Roman"/>
          <w:sz w:val="24"/>
          <w:szCs w:val="24"/>
        </w:rPr>
      </w:pPr>
      <w:bookmarkStart w:id="0" w:name="_GoBack"/>
      <w:bookmarkEnd w:id="0"/>
    </w:p>
    <w:sectPr w:rsidR="0055324A" w:rsidRPr="00AA7CA5" w:rsidSect="005A756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6767"/>
    <w:rsid w:val="0000336C"/>
    <w:rsid w:val="000D057F"/>
    <w:rsid w:val="002E1536"/>
    <w:rsid w:val="004018AA"/>
    <w:rsid w:val="00506767"/>
    <w:rsid w:val="005356AA"/>
    <w:rsid w:val="0055324A"/>
    <w:rsid w:val="005A756F"/>
    <w:rsid w:val="005B7C1C"/>
    <w:rsid w:val="00781473"/>
    <w:rsid w:val="00782C67"/>
    <w:rsid w:val="00861F6A"/>
    <w:rsid w:val="008F448B"/>
    <w:rsid w:val="009C1324"/>
    <w:rsid w:val="009D4E92"/>
    <w:rsid w:val="00A74738"/>
    <w:rsid w:val="00AA7CA5"/>
    <w:rsid w:val="00B03F97"/>
    <w:rsid w:val="00CC0BC1"/>
    <w:rsid w:val="00DD3C14"/>
    <w:rsid w:val="00E850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767"/>
    <w:pPr>
      <w:spacing w:after="200" w:line="276" w:lineRule="auto"/>
    </w:pPr>
    <w:rPr>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7473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510</Words>
  <Characters>2910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DARIYA GORDIYCHUR, AHMED RALIAT</dc:title>
  <dc:subject/>
  <dc:creator>Dr Rahlee</dc:creator>
  <cp:keywords/>
  <dc:description/>
  <cp:lastModifiedBy>WiZaRd</cp:lastModifiedBy>
  <cp:revision>2</cp:revision>
  <dcterms:created xsi:type="dcterms:W3CDTF">2015-04-11T19:27:00Z</dcterms:created>
  <dcterms:modified xsi:type="dcterms:W3CDTF">2015-04-11T19:27:00Z</dcterms:modified>
</cp:coreProperties>
</file>