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BF" w:rsidRDefault="00A143BF" w:rsidP="00367D01">
      <w:pPr>
        <w:spacing w:after="0"/>
        <w:jc w:val="both"/>
        <w:rPr>
          <w:b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Мова, культура та філософія у процесі глобальних трансформацій: матеріали Науково-практичної конференції (м. Київ, 26 лютого 2015 р.) / відп. ред. Л.В. Кнодель, К.С. Усачова. -К.: Інститут кримінально-виконавчої служби, 2015. - 124 с.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Кучера Т.М., Печенікова Л.М. Інтелектуальний потенціал як найважливіша умова інноваційного прориву українського соціуму в контексті сучасних глобалізаційних процесів (ст. 77-79)</w:t>
      </w:r>
    </w:p>
    <w:p w:rsidR="00A143BF" w:rsidRDefault="00A143BF" w:rsidP="00696B0F">
      <w:pPr>
        <w:spacing w:after="0"/>
        <w:rPr>
          <w:b/>
          <w:sz w:val="28"/>
          <w:szCs w:val="28"/>
          <w:lang w:val="uk-UA"/>
        </w:rPr>
      </w:pPr>
    </w:p>
    <w:p w:rsidR="00A143BF" w:rsidRDefault="00A143BF" w:rsidP="00696B0F">
      <w:pPr>
        <w:spacing w:after="0"/>
        <w:rPr>
          <w:b/>
          <w:sz w:val="28"/>
          <w:szCs w:val="28"/>
          <w:lang w:val="uk-UA"/>
        </w:rPr>
      </w:pPr>
    </w:p>
    <w:p w:rsidR="00696B0F" w:rsidRPr="00367D01" w:rsidRDefault="00367D01" w:rsidP="005845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D01">
        <w:rPr>
          <w:rFonts w:ascii="Times New Roman" w:hAnsi="Times New Roman" w:cs="Times New Roman"/>
          <w:sz w:val="28"/>
          <w:szCs w:val="28"/>
          <w:lang w:val="uk-UA"/>
        </w:rPr>
        <w:t>Кучера Т. М.</w:t>
      </w:r>
      <w:r w:rsidR="00696B0F" w:rsidRPr="00367D01">
        <w:rPr>
          <w:rFonts w:ascii="Times New Roman" w:hAnsi="Times New Roman" w:cs="Times New Roman"/>
          <w:sz w:val="28"/>
          <w:szCs w:val="28"/>
          <w:lang w:val="uk-UA"/>
        </w:rPr>
        <w:t xml:space="preserve"> (кандидат філософських наук, </w:t>
      </w:r>
      <w:r w:rsidR="00DE1111" w:rsidRPr="00367D01"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r w:rsidR="00696B0F" w:rsidRPr="00367D01">
        <w:rPr>
          <w:rFonts w:ascii="Times New Roman" w:hAnsi="Times New Roman" w:cs="Times New Roman"/>
          <w:sz w:val="28"/>
          <w:szCs w:val="28"/>
          <w:lang w:val="uk-UA"/>
        </w:rPr>
        <w:t>кафедри філософії Харківський національний медичний університет)</w:t>
      </w:r>
    </w:p>
    <w:p w:rsidR="00A143BF" w:rsidRPr="00367D01" w:rsidRDefault="00A143BF" w:rsidP="005845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3BF" w:rsidRPr="00367D01" w:rsidRDefault="00A143BF" w:rsidP="0058454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</w:pPr>
      <w:r w:rsidRPr="00367D01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>Печенікова</w:t>
      </w:r>
      <w:r w:rsidRPr="00367D01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 xml:space="preserve"> </w:t>
      </w:r>
      <w:r w:rsidR="00194ADD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 xml:space="preserve">Л. </w:t>
      </w:r>
      <w:bookmarkStart w:id="0" w:name="_GoBack"/>
      <w:bookmarkEnd w:id="0"/>
      <w:r w:rsidRPr="00367D01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>М.</w:t>
      </w:r>
      <w:r w:rsidRPr="00367D01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 xml:space="preserve"> </w:t>
      </w:r>
      <w:r w:rsidRPr="00367D01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>(Київський</w:t>
      </w:r>
      <w:r w:rsidRPr="00367D01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 xml:space="preserve"> </w:t>
      </w:r>
      <w:r w:rsidRPr="00367D01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>національний</w:t>
      </w:r>
      <w:r w:rsidRPr="00367D01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 xml:space="preserve"> </w:t>
      </w:r>
      <w:r w:rsidRPr="00367D01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>економічний</w:t>
      </w:r>
      <w:r w:rsidRPr="00367D01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 xml:space="preserve"> </w:t>
      </w:r>
      <w:r w:rsidRPr="00367D01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>університет</w:t>
      </w:r>
      <w:r w:rsidRPr="00367D01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 xml:space="preserve"> </w:t>
      </w:r>
      <w:r w:rsidRPr="00367D01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>ім.</w:t>
      </w:r>
      <w:r w:rsidRPr="00367D01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 xml:space="preserve"> </w:t>
      </w:r>
      <w:r w:rsidRPr="00367D01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>Вадима</w:t>
      </w:r>
      <w:r w:rsidRPr="00367D01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 xml:space="preserve"> </w:t>
      </w:r>
      <w:r w:rsidRPr="00367D01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>Гетьмана)</w:t>
      </w:r>
    </w:p>
    <w:p w:rsidR="00696B0F" w:rsidRDefault="00696B0F" w:rsidP="00696B0F">
      <w:pPr>
        <w:spacing w:after="0"/>
        <w:rPr>
          <w:b/>
          <w:sz w:val="28"/>
          <w:szCs w:val="28"/>
          <w:lang w:val="uk-UA"/>
        </w:rPr>
      </w:pPr>
    </w:p>
    <w:p w:rsidR="00696B0F" w:rsidRDefault="00696B0F" w:rsidP="00696B0F">
      <w:pPr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Інтелектуальний потенціал як найважливіша умова інноваційного прориву  українського соціуму в контексті сучасних глобалізаційних процесів</w:t>
      </w:r>
    </w:p>
    <w:p w:rsidR="00696B0F" w:rsidRDefault="00696B0F" w:rsidP="00696B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Анотация: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uk-UA"/>
        </w:rPr>
        <w:t>Исследована взаимосвязь будущего украинского социума при условии развития интеллектуального потенциала</w:t>
      </w:r>
      <w:r>
        <w:rPr>
          <w:rFonts w:ascii="Times New Roman" w:hAnsi="Times New Roman" w:cs="Times New Roman"/>
          <w:i/>
          <w:lang w:val="uk-UA"/>
        </w:rPr>
        <w:t xml:space="preserve"> как ресурса, который может быть использован государством для решения заданий по самосохранению в условиях глобализации.  </w:t>
      </w:r>
    </w:p>
    <w:p w:rsidR="00696B0F" w:rsidRDefault="00696B0F" w:rsidP="00696B0F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lang w:val="uk-UA"/>
        </w:rPr>
        <w:t>Ключевые слова</w:t>
      </w:r>
      <w:r>
        <w:rPr>
          <w:rFonts w:ascii="Times New Roman" w:eastAsia="Times New Roman" w:hAnsi="Times New Roman" w:cs="Times New Roman"/>
          <w:b/>
          <w:bCs/>
          <w:lang w:val="uk-UA"/>
        </w:rPr>
        <w:t>: </w:t>
      </w:r>
      <w:r>
        <w:rPr>
          <w:rFonts w:ascii="Times New Roman" w:eastAsia="Times New Roman" w:hAnsi="Times New Roman" w:cs="Times New Roman"/>
          <w:lang w:val="uk-UA"/>
        </w:rPr>
        <w:t xml:space="preserve">нация, интеллектуальный потенциал, </w:t>
      </w:r>
      <w:r>
        <w:rPr>
          <w:rFonts w:ascii="Times New Roman" w:eastAsia="Times New Roman" w:hAnsi="Times New Roman" w:cs="Times New Roman"/>
        </w:rPr>
        <w:t xml:space="preserve">интеллектуальные ресурсы, интеллектуальный капитал, </w:t>
      </w:r>
      <w:r>
        <w:rPr>
          <w:rFonts w:ascii="Times New Roman" w:eastAsia="Times New Roman" w:hAnsi="Times New Roman" w:cs="Times New Roman"/>
          <w:lang w:val="uk-UA"/>
        </w:rPr>
        <w:t>интеллектуальная собственность</w:t>
      </w:r>
    </w:p>
    <w:p w:rsidR="00696B0F" w:rsidRDefault="00696B0F" w:rsidP="00696B0F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lang w:val="en-US"/>
        </w:rPr>
      </w:pPr>
      <w:r>
        <w:rPr>
          <w:rFonts w:ascii="Times New Roman" w:eastAsia="Times New Roman" w:hAnsi="Times New Roman" w:cs="Times New Roman"/>
          <w:b/>
          <w:i/>
          <w:iCs/>
          <w:lang w:val="en-US"/>
        </w:rPr>
        <w:t>Annotation</w:t>
      </w:r>
      <w:r>
        <w:rPr>
          <w:rFonts w:ascii="Times New Roman" w:hAnsi="Times New Roman" w:cs="Times New Roman"/>
          <w:b/>
          <w:i/>
          <w:lang w:val="uk-UA"/>
        </w:rPr>
        <w:t>: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uk-UA"/>
        </w:rPr>
        <w:t>Investigate the question of the future of the Ukrainian nation with the development of its intellectual potential а</w:t>
      </w:r>
      <w:r>
        <w:rPr>
          <w:rFonts w:ascii="Times New Roman" w:eastAsia="Times New Roman" w:hAnsi="Times New Roman" w:cs="Times New Roman"/>
          <w:i/>
          <w:iCs/>
          <w:lang w:val="en-US"/>
        </w:rPr>
        <w:t xml:space="preserve">s resourse wich can be used for selfprotection in condition of globalization </w:t>
      </w:r>
      <w:r>
        <w:rPr>
          <w:rFonts w:ascii="Times New Roman" w:eastAsia="Times New Roman" w:hAnsi="Times New Roman" w:cs="Times New Roman"/>
          <w:i/>
          <w:iCs/>
          <w:lang w:val="uk-UA"/>
        </w:rPr>
        <w:t xml:space="preserve">. </w:t>
      </w:r>
    </w:p>
    <w:p w:rsidR="00696B0F" w:rsidRPr="00584544" w:rsidRDefault="00696B0F" w:rsidP="00696B0F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>Key words</w:t>
      </w:r>
      <w:r>
        <w:rPr>
          <w:rFonts w:ascii="Times New Roman" w:eastAsia="Times New Roman" w:hAnsi="Times New Roman" w:cs="Times New Roman"/>
          <w:b/>
          <w:bCs/>
          <w:i/>
          <w:lang w:val="uk-UA"/>
        </w:rPr>
        <w:t>: </w:t>
      </w:r>
      <w:r>
        <w:rPr>
          <w:rFonts w:ascii="Times New Roman" w:eastAsia="Times New Roman" w:hAnsi="Times New Roman" w:cs="Times New Roman"/>
          <w:i/>
          <w:lang w:val="uk-UA"/>
        </w:rPr>
        <w:t xml:space="preserve">nation, intellectual potential, </w:t>
      </w:r>
      <w:r>
        <w:rPr>
          <w:rFonts w:ascii="Times New Roman" w:hAnsi="Times New Roman" w:cs="Times New Roman"/>
          <w:i/>
          <w:lang w:val="en-GB" w:eastAsia="en-US"/>
        </w:rPr>
        <w:t>intellectual resources, intellectual ca</w:t>
      </w:r>
      <w:r w:rsidR="00584544">
        <w:rPr>
          <w:rFonts w:ascii="Times New Roman" w:hAnsi="Times New Roman" w:cs="Times New Roman"/>
          <w:i/>
          <w:lang w:val="en-GB" w:eastAsia="en-US"/>
        </w:rPr>
        <w:t>pital and intellectual property</w:t>
      </w:r>
    </w:p>
    <w:p w:rsidR="00696B0F" w:rsidRDefault="00696B0F" w:rsidP="00696B0F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Початок ХХІ століття характеризується переходом до поліцентричності, що супроводжується загостренням економічних, політичних, етнонаціональних, конфесійних та інших суперечностей на регіональних і локальних рівнях. В результаті системних соціальних зрушень епіцентром змін стають світоглядні орієнтації людини/суспільства, що актуалізує запит не тільки на ефективну державну політику здатну забезпечити економічну спроможність України, а й на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формування нових конкурентних переваг на засадах ефективного нагромадження інтелектуального потенціалу й </w:t>
      </w:r>
      <w:r>
        <w:rPr>
          <w:rFonts w:ascii="Times New Roman" w:hAnsi="Times New Roman" w:cs="Times New Roman"/>
          <w:sz w:val="28"/>
          <w:szCs w:val="28"/>
          <w:lang w:val="uk-UA"/>
        </w:rPr>
        <w:t>інтелектуалізації суспільства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696B0F" w:rsidRDefault="00696B0F" w:rsidP="00696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Проблемі формування та оцінювання інтелектуального потенціалу, інтелектуалізації суспільства та економіки присвячено чимало сучасних наукових розробок. Ці питання привертають увагу як вітчизняних науковців: С. Вовканича, О. Бутнік-Сіверського, Л. Диби, І. Мойсеєнко, Ю. Пилипенко, А. Турило, так 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закордонних Е. Брукінга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Е. Титової, В. Касаткіної.                     Тому актуальність обраної теми має подвійне обґрунтування: потреба фундаментального концептуального осягнення інтелектуального потенціалу як найважливішої умови інноваційного прориву  українського соціуму, і в рамках соціально-філософського аналізу – розкрити специфічність інтелектуального потенціалу як ресурсу, що може бути використаний державою для вирішення завдань по самозбереженню в умовах  глобалізації.  </w:t>
      </w:r>
    </w:p>
    <w:p w:rsidR="00696B0F" w:rsidRDefault="00696B0F" w:rsidP="00696B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сучасному етапі Україна переживає найскладніший період одночасних змін у політиці, економіці,  освіті, в системі фундаментальних суспільних цінностей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що поглиблюється  негайною необхідністю осягнення нових викликів громадянського суспільства, визначених умовами глобальної нестабільності. Намагаючись опанувати невичерпну складність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даної проблеми підкреслимо, що неабиякої ваги набуває оцінка критичних ситуацій і вироблення стратегічних пріоритетів, національних програм і проектів, що дозволяють здійснити інноваційний прорив виходу України із кризи. </w:t>
      </w:r>
    </w:p>
    <w:p w:rsidR="00696B0F" w:rsidRDefault="00696B0F" w:rsidP="00696B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Глобальний перехід до інформаційної епохи видозмінює епоху індустріалізму і як зауважують вчені [1; 2; 3; 4] включає яскраво виражену кризову компоненту, що дозволяє стверджувати, що такий перехід супроводжується прогресивним розвитком найновіших інформаційних, біоінформаційних, соціоінформаційних технологій із відповідною їм трансформацією основних сфер людської діяльності: економіки, політики, науки, культури.</w:t>
      </w:r>
    </w:p>
    <w:p w:rsidR="00696B0F" w:rsidRDefault="00696B0F" w:rsidP="00696B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Питання перспектив і наслідків інформаційної епохи для людської цивілізації залишається відкритим, оскільки зміна соціальної реальності за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допомогою інформаційних технологій може представляти  як потенційну загрозу, так і шанс до радикальних змін  [5,  с.90]. </w:t>
      </w:r>
    </w:p>
    <w:p w:rsidR="00696B0F" w:rsidRDefault="00696B0F" w:rsidP="00696B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Слушно зауважує Т. Сакайя:  “…ми вступаємо в новий етап цивілізації, на якому рушійною силою є цінності, створені знаннями” [6, с. 337]. Слід підкреслити, що в умовах глобалізації саме знання, а не праця стають джерелом вартості.  </w:t>
      </w:r>
    </w:p>
    <w:p w:rsidR="00696B0F" w:rsidRDefault="00696B0F" w:rsidP="00696B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Знання, креативність і розвиток інтелектуальної активності виступають рушійною силою інновацій як необхідного елементу циклічної технологічної динаміки, засвоєння яких дозволяє долати наслідки технологічної деградації економіки і здійснювати перехід від кризової фази  розвитку до фази нового циклу і нового способу виробництва. </w:t>
      </w:r>
    </w:p>
    <w:p w:rsidR="00696B0F" w:rsidRDefault="00696B0F" w:rsidP="00696B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умовах сучасної дійсності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ефективність економічної системи України залежить 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цілеспрямованої політики по реструктуризації соціально-економічного потенціалу в напрямку росту інтелектуального потенціалу, що дозволяє регіонам підвищувати свої адаптаційні характеристики до вимог нової економіки. </w:t>
      </w:r>
    </w:p>
    <w:p w:rsidR="00696B0F" w:rsidRDefault="00696B0F" w:rsidP="00696B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Розбудова конкурентоспроможної економіки України, прискорення економічного зростання і нагромадження капіталу можливі лише за умови підвищення інтелектуального потенціалу людини/суспільства через вдосконалення техніки, технології, управління, створення нових продуктів, збільшення обсягів виробництва і продажу. </w:t>
      </w:r>
    </w:p>
    <w:p w:rsidR="00696B0F" w:rsidRDefault="00696B0F" w:rsidP="00696B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такому контексті ефективне використання і нагромадження інтелектуального потенціалу держави/регіону, створення інституціональних умов для його розширеного відтворення має стати пріоритетними напрямками регіональної політики. Інтелектуальний потенціал суспільства як сукупність освітнього, наукового, інноваційного та культурного потенціалів виступає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головним механізмом конкурентної боротьби і  фінансової стабільності.</w:t>
      </w:r>
    </w:p>
    <w:p w:rsidR="00696B0F" w:rsidRDefault="00696B0F" w:rsidP="00696B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Вовканич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підкреслює, що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інтелектуальний потенціал є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головною умовою науково-технічного прогресу. Відтак, </w:t>
      </w:r>
      <w:r>
        <w:rPr>
          <w:rFonts w:ascii="Times New Roman" w:hAnsi="Times New Roman" w:cs="Times New Roman"/>
          <w:sz w:val="28"/>
          <w:szCs w:val="28"/>
        </w:rPr>
        <w:t xml:space="preserve">соціальне інвестування у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процес відтворення інтелектуального потенціалу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нагромадження і використання нових знань (проектів, ідей, моделей),</w:t>
      </w:r>
      <w:r w:rsidR="004A358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що може стати інтелектуальною власністю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України, </w:t>
      </w:r>
      <w:r>
        <w:rPr>
          <w:rFonts w:ascii="Times New Roman" w:hAnsi="Times New Roman" w:cs="Times New Roman"/>
          <w:sz w:val="28"/>
          <w:szCs w:val="28"/>
        </w:rPr>
        <w:t>призводить до росту доходів населення, а тим самим і до зростання загального соціально-економічного стану регіону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uk-UA"/>
        </w:rPr>
        <w:t>сприя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є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прогресивній і міжнародній інтеграції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держави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як повноправного партнера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[7, с. 337].</w:t>
      </w:r>
    </w:p>
    <w:p w:rsidR="00696B0F" w:rsidRDefault="00696B0F" w:rsidP="00696B0F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Література</w:t>
      </w:r>
    </w:p>
    <w:p w:rsidR="00696B0F" w:rsidRDefault="00696B0F" w:rsidP="00696B0F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Максименко І. І. Управління інтелектуальним потенціалом регіону: Автореф. к-та екон. наук: 08.00.05. – Перм., 2010. </w:t>
      </w:r>
    </w:p>
    <w:p w:rsidR="00696B0F" w:rsidRDefault="00696B0F" w:rsidP="00696B0F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Петренко В.П. Управл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>ня</w:t>
      </w:r>
      <w:r>
        <w:rPr>
          <w:sz w:val="28"/>
          <w:szCs w:val="28"/>
        </w:rPr>
        <w:t xml:space="preserve"> процесами інтелектокор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стування в соціально-економічних системах / / Наукова монографія – Івано-Франківськ: Нова Зоря, 2006. – 352 с.  </w:t>
      </w:r>
    </w:p>
    <w:p w:rsidR="00696B0F" w:rsidRDefault="00696B0F" w:rsidP="00696B0F">
      <w:pPr>
        <w:pStyle w:val="a3"/>
        <w:spacing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3. Гагауз І.Б. Чи можливі аналоги європейських Science</w:t>
      </w:r>
      <w:r w:rsidR="004A35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Cities в Україні / Гагауз І.Б. / / Наука та інновації. – 2011. – № 4. – 194 с.</w:t>
      </w:r>
      <w:r>
        <w:rPr>
          <w:sz w:val="28"/>
          <w:szCs w:val="28"/>
          <w:lang w:val="uk-UA"/>
        </w:rPr>
        <w:t xml:space="preserve"> </w:t>
      </w:r>
    </w:p>
    <w:p w:rsidR="00696B0F" w:rsidRDefault="00696B0F" w:rsidP="00696B0F">
      <w:pPr>
        <w:pStyle w:val="a3"/>
        <w:spacing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Пилипенко Ю. І. Фактори технологічного відставання національної економіки України // Європейський вектор економічного розвитку: Збірник наук. праць. Вип. 1 (6). – Дніпропетровськ, 2009. – С. 141–145. </w:t>
      </w:r>
    </w:p>
    <w:p w:rsidR="00696B0F" w:rsidRDefault="00696B0F" w:rsidP="00696B0F">
      <w:pPr>
        <w:pStyle w:val="a3"/>
        <w:spacing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Попов С. М. Розвиток теорії автопоезису як суперпозиція дії зворотних зв’язків у складних соціальних системах // Гуманітарний вісник Запорізької державної інженерної академії: зб. наук. праць, вип. 57 - Запоріжжя:ЗДІА, 2014. – 284с.</w:t>
      </w:r>
    </w:p>
    <w:p w:rsidR="00696B0F" w:rsidRDefault="00696B0F" w:rsidP="00696B0F">
      <w:pPr>
        <w:pStyle w:val="a3"/>
        <w:spacing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6. Сакайя Т. Стоимость создаваемая знаниями, или история будущого // новая индустриальная волна на Западе: Антология / под. ред.. В. Л. Иноземцева. – М.: </w:t>
      </w:r>
      <w:r>
        <w:rPr>
          <w:sz w:val="28"/>
          <w:szCs w:val="28"/>
          <w:lang w:val="en-US" w:eastAsia="uk-UA"/>
        </w:rPr>
        <w:t>Academia</w:t>
      </w:r>
      <w:r>
        <w:rPr>
          <w:sz w:val="28"/>
          <w:szCs w:val="28"/>
          <w:lang w:val="uk-UA" w:eastAsia="uk-UA"/>
        </w:rPr>
        <w:t>,1999. – С.337-371.</w:t>
      </w:r>
    </w:p>
    <w:p w:rsidR="00E17E0E" w:rsidRPr="00C9265D" w:rsidRDefault="00696B0F" w:rsidP="00C9265D">
      <w:pPr>
        <w:pStyle w:val="a3"/>
        <w:spacing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Вовканич С. Й. Духовно-інтелектуальний потенціал України та її національна ідея / С. Й. Вовканич. – Львів: Видавництво ЛБА, 2001.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– 540 с.</w:t>
      </w:r>
    </w:p>
    <w:sectPr w:rsidR="00E17E0E" w:rsidRPr="00C9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F7"/>
    <w:rsid w:val="00194ADD"/>
    <w:rsid w:val="00367D01"/>
    <w:rsid w:val="004A3587"/>
    <w:rsid w:val="00584544"/>
    <w:rsid w:val="005F2F5C"/>
    <w:rsid w:val="00696B0F"/>
    <w:rsid w:val="00A143BF"/>
    <w:rsid w:val="00C9265D"/>
    <w:rsid w:val="00DE1111"/>
    <w:rsid w:val="00E17E0E"/>
    <w:rsid w:val="00EC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1098</Words>
  <Characters>6259</Characters>
  <Application>Microsoft Office Word</Application>
  <DocSecurity>0</DocSecurity>
  <Lines>52</Lines>
  <Paragraphs>14</Paragraphs>
  <ScaleCrop>false</ScaleCrop>
  <Company>diakov.net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dcterms:created xsi:type="dcterms:W3CDTF">2015-10-27T19:28:00Z</dcterms:created>
  <dcterms:modified xsi:type="dcterms:W3CDTF">2015-10-29T09:03:00Z</dcterms:modified>
</cp:coreProperties>
</file>