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7A" w:rsidRPr="0046127A" w:rsidRDefault="0046127A" w:rsidP="004612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46127A">
        <w:rPr>
          <w:rFonts w:ascii="Times New Roman" w:hAnsi="Times New Roman"/>
          <w:b/>
          <w:sz w:val="24"/>
          <w:szCs w:val="24"/>
          <w:lang w:val="en-US"/>
        </w:rPr>
        <w:t>Volkovitska</w:t>
      </w:r>
      <w:proofErr w:type="spellEnd"/>
      <w:r w:rsidRPr="0046127A">
        <w:rPr>
          <w:rFonts w:ascii="Times New Roman" w:hAnsi="Times New Roman"/>
          <w:b/>
          <w:sz w:val="24"/>
          <w:szCs w:val="24"/>
          <w:lang w:val="en-US"/>
        </w:rPr>
        <w:t xml:space="preserve"> T.A., Cherepynskaya Y.A.</w:t>
      </w:r>
    </w:p>
    <w:p w:rsidR="00A70D6F" w:rsidRPr="0046127A" w:rsidRDefault="00A70D6F" w:rsidP="00A70D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6127A">
        <w:rPr>
          <w:rFonts w:ascii="Times New Roman" w:hAnsi="Times New Roman"/>
          <w:b/>
          <w:sz w:val="24"/>
          <w:szCs w:val="24"/>
          <w:lang w:val="en-US"/>
        </w:rPr>
        <w:t>COMBINED USE OF ERBIUM (ER</w:t>
      </w:r>
      <w:r w:rsidR="00705EA4" w:rsidRPr="0046127A">
        <w:rPr>
          <w:rFonts w:ascii="Times New Roman" w:hAnsi="Times New Roman"/>
          <w:b/>
          <w:sz w:val="24"/>
          <w:szCs w:val="24"/>
          <w:lang w:val="en-US"/>
        </w:rPr>
        <w:t>: YAG</w:t>
      </w:r>
      <w:r w:rsidRPr="0046127A">
        <w:rPr>
          <w:rFonts w:ascii="Times New Roman" w:hAnsi="Times New Roman"/>
          <w:b/>
          <w:sz w:val="24"/>
          <w:szCs w:val="24"/>
          <w:lang w:val="en-US"/>
        </w:rPr>
        <w:t>) AND NEODYMIUM (ND:</w:t>
      </w:r>
      <w:r w:rsidR="00705EA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6127A">
        <w:rPr>
          <w:rFonts w:ascii="Times New Roman" w:hAnsi="Times New Roman"/>
          <w:b/>
          <w:sz w:val="24"/>
          <w:szCs w:val="24"/>
          <w:lang w:val="en-US"/>
        </w:rPr>
        <w:t>YAG) LASERS AT THE SURGICAL STAGE OF CHRONIC PERIODONTITIS TREATMENT</w:t>
      </w:r>
    </w:p>
    <w:p w:rsidR="00E5406C" w:rsidRPr="0046127A" w:rsidRDefault="0046127A" w:rsidP="00E540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6127A">
        <w:rPr>
          <w:rFonts w:ascii="Times New Roman" w:hAnsi="Times New Roman"/>
          <w:b/>
          <w:sz w:val="24"/>
          <w:szCs w:val="24"/>
          <w:lang w:val="en-US"/>
        </w:rPr>
        <w:t>Introduction:</w:t>
      </w:r>
      <w:r w:rsidRPr="0046127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0666B" w:rsidRPr="0046127A">
        <w:rPr>
          <w:rFonts w:ascii="Times New Roman" w:hAnsi="Times New Roman"/>
          <w:sz w:val="24"/>
          <w:szCs w:val="24"/>
          <w:lang w:val="en-US"/>
        </w:rPr>
        <w:t xml:space="preserve">The need to improve surgical techniques encourages </w:t>
      </w:r>
      <w:r w:rsidR="00BA1DE5" w:rsidRPr="0046127A">
        <w:rPr>
          <w:rFonts w:ascii="Times New Roman" w:hAnsi="Times New Roman"/>
          <w:sz w:val="24"/>
          <w:szCs w:val="24"/>
          <w:lang w:val="en-US"/>
        </w:rPr>
        <w:t>us to turn to modern technologies; namely</w:t>
      </w:r>
      <w:r w:rsidR="00E5406C" w:rsidRPr="0046127A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BA1DE5" w:rsidRPr="0046127A">
        <w:rPr>
          <w:rFonts w:ascii="Times New Roman" w:hAnsi="Times New Roman"/>
          <w:sz w:val="24"/>
          <w:szCs w:val="24"/>
          <w:lang w:val="en-US"/>
        </w:rPr>
        <w:t>use of various types of lasers</w:t>
      </w:r>
      <w:r w:rsidR="00E5406C" w:rsidRPr="0046127A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BA1DE5" w:rsidRPr="0046127A">
        <w:rPr>
          <w:rFonts w:ascii="Times New Roman" w:hAnsi="Times New Roman"/>
          <w:sz w:val="24"/>
          <w:szCs w:val="24"/>
          <w:lang w:val="en-US"/>
        </w:rPr>
        <w:t>allowing for creation of the best conditions for postoperative wound healing and improvement of conditions for bone regeneration</w:t>
      </w:r>
      <w:r w:rsidR="00E5406C" w:rsidRPr="0046127A">
        <w:rPr>
          <w:rFonts w:ascii="Times New Roman" w:hAnsi="Times New Roman"/>
          <w:sz w:val="24"/>
          <w:szCs w:val="24"/>
          <w:lang w:val="en-US"/>
        </w:rPr>
        <w:t>.</w:t>
      </w:r>
    </w:p>
    <w:p w:rsidR="00E5406C" w:rsidRPr="0046127A" w:rsidRDefault="00BA1DE5" w:rsidP="00E540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6127A">
        <w:rPr>
          <w:rFonts w:ascii="Times New Roman" w:hAnsi="Times New Roman"/>
          <w:b/>
          <w:sz w:val="24"/>
          <w:szCs w:val="24"/>
          <w:lang w:val="en-US"/>
        </w:rPr>
        <w:t xml:space="preserve">The aim </w:t>
      </w:r>
      <w:r w:rsidRPr="0046127A">
        <w:rPr>
          <w:rFonts w:ascii="Times New Roman" w:hAnsi="Times New Roman"/>
          <w:sz w:val="24"/>
          <w:szCs w:val="24"/>
          <w:lang w:val="en-US"/>
        </w:rPr>
        <w:t>of the study</w:t>
      </w:r>
      <w:r w:rsidRPr="0046127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6127A">
        <w:rPr>
          <w:rFonts w:ascii="Times New Roman" w:hAnsi="Times New Roman"/>
          <w:sz w:val="24"/>
          <w:szCs w:val="24"/>
          <w:lang w:val="en-US"/>
        </w:rPr>
        <w:t>is</w:t>
      </w:r>
      <w:r w:rsidR="00E5406C" w:rsidRPr="004612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6127A">
        <w:rPr>
          <w:rFonts w:ascii="Times New Roman" w:hAnsi="Times New Roman"/>
          <w:sz w:val="24"/>
          <w:szCs w:val="24"/>
          <w:lang w:val="en-US"/>
        </w:rPr>
        <w:t xml:space="preserve">to increase </w:t>
      </w:r>
      <w:r w:rsidR="00866BBD" w:rsidRPr="0046127A">
        <w:rPr>
          <w:rFonts w:ascii="Times New Roman" w:hAnsi="Times New Roman"/>
          <w:sz w:val="24"/>
          <w:szCs w:val="24"/>
          <w:lang w:val="en-US"/>
        </w:rPr>
        <w:t>effectiveness</w:t>
      </w:r>
      <w:r w:rsidRPr="0046127A">
        <w:rPr>
          <w:rFonts w:ascii="Times New Roman" w:hAnsi="Times New Roman"/>
          <w:sz w:val="24"/>
          <w:szCs w:val="24"/>
          <w:lang w:val="en-US"/>
        </w:rPr>
        <w:t xml:space="preserve"> of complex treatment of patients with </w:t>
      </w:r>
      <w:r w:rsidR="00B161BC" w:rsidRPr="0046127A">
        <w:rPr>
          <w:rFonts w:ascii="Times New Roman" w:hAnsi="Times New Roman"/>
          <w:sz w:val="24"/>
          <w:szCs w:val="24"/>
          <w:lang w:val="en-US"/>
        </w:rPr>
        <w:t>chronic generalized periodontitis</w:t>
      </w:r>
      <w:r w:rsidRPr="0046127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61BC" w:rsidRPr="0046127A">
        <w:rPr>
          <w:rFonts w:ascii="Times New Roman" w:hAnsi="Times New Roman"/>
          <w:sz w:val="24"/>
          <w:szCs w:val="24"/>
          <w:lang w:val="en-US"/>
        </w:rPr>
        <w:t xml:space="preserve">by using lasers </w:t>
      </w:r>
      <w:r w:rsidR="0001780B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(</w:t>
      </w:r>
      <w:proofErr w:type="spellStart"/>
      <w:r w:rsidR="0001780B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Er</w:t>
      </w:r>
      <w:proofErr w:type="spellEnd"/>
      <w:r w:rsidR="0001780B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:</w:t>
      </w:r>
      <w:r w:rsidR="00705EA4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 </w:t>
      </w:r>
      <w:r w:rsidR="0001780B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YAG (</w:t>
      </w:r>
      <w:r w:rsidR="00B161BC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erbium</w:t>
      </w:r>
      <w:r w:rsidR="0001780B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) </w:t>
      </w:r>
      <w:r w:rsidR="00B161BC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with wavelength of 2940 nm and</w:t>
      </w:r>
      <w:r w:rsidR="0001780B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="0001780B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Nd</w:t>
      </w:r>
      <w:proofErr w:type="spellEnd"/>
      <w:r w:rsidR="0001780B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:</w:t>
      </w:r>
      <w:r w:rsidR="00705EA4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 </w:t>
      </w:r>
      <w:r w:rsidR="0001780B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YAG (</w:t>
      </w:r>
      <w:r w:rsidR="00B161BC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neodymium</w:t>
      </w:r>
      <w:r w:rsidR="0001780B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) </w:t>
      </w:r>
      <w:r w:rsidR="00B161BC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with wavelength of </w:t>
      </w:r>
      <w:r w:rsidR="0001780B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1064</w:t>
      </w:r>
      <w:r w:rsidR="00B161BC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 nm</w:t>
      </w:r>
      <w:r w:rsidR="0001780B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)</w:t>
      </w:r>
      <w:r w:rsidR="00E5406C" w:rsidRPr="0046127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61BC" w:rsidRPr="0046127A">
        <w:rPr>
          <w:rFonts w:ascii="Times New Roman" w:hAnsi="Times New Roman"/>
          <w:sz w:val="24"/>
          <w:szCs w:val="24"/>
          <w:lang w:val="en-US"/>
        </w:rPr>
        <w:t>at the surgical sta</w:t>
      </w:r>
      <w:r w:rsidR="00866BBD" w:rsidRPr="0046127A">
        <w:rPr>
          <w:rFonts w:ascii="Times New Roman" w:hAnsi="Times New Roman"/>
          <w:sz w:val="24"/>
          <w:szCs w:val="24"/>
          <w:lang w:val="en-US"/>
        </w:rPr>
        <w:t>g</w:t>
      </w:r>
      <w:r w:rsidR="00B161BC" w:rsidRPr="0046127A">
        <w:rPr>
          <w:rFonts w:ascii="Times New Roman" w:hAnsi="Times New Roman"/>
          <w:sz w:val="24"/>
          <w:szCs w:val="24"/>
          <w:lang w:val="en-US"/>
        </w:rPr>
        <w:t>e</w:t>
      </w:r>
      <w:r w:rsidR="0001780B" w:rsidRPr="0046127A">
        <w:rPr>
          <w:rFonts w:ascii="Times New Roman" w:hAnsi="Times New Roman"/>
          <w:sz w:val="24"/>
          <w:szCs w:val="24"/>
          <w:lang w:val="en-US"/>
        </w:rPr>
        <w:t>.</w:t>
      </w:r>
    </w:p>
    <w:p w:rsidR="005D2E33" w:rsidRPr="0046127A" w:rsidRDefault="0046127A" w:rsidP="0046127A">
      <w:pPr>
        <w:widowControl w:val="0"/>
        <w:shd w:val="clear" w:color="auto" w:fill="FFFFFF"/>
        <w:spacing w:after="0" w:line="240" w:lineRule="auto"/>
        <w:ind w:right="149" w:firstLine="709"/>
        <w:jc w:val="both"/>
        <w:rPr>
          <w:rFonts w:ascii="Times New Roman" w:hAnsi="Times New Roman"/>
          <w:color w:val="000000"/>
          <w:spacing w:val="3"/>
          <w:sz w:val="24"/>
          <w:szCs w:val="24"/>
          <w:lang w:val="en-US"/>
        </w:rPr>
      </w:pPr>
      <w:r w:rsidRPr="0046127A">
        <w:rPr>
          <w:rFonts w:ascii="Times New Roman" w:hAnsi="Times New Roman"/>
          <w:b/>
          <w:sz w:val="24"/>
          <w:szCs w:val="24"/>
          <w:lang w:val="en-US"/>
        </w:rPr>
        <w:t>Materials and Methods:</w:t>
      </w:r>
      <w:r w:rsidRPr="0046127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61BC" w:rsidRPr="0046127A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70 patients diagnosed with </w:t>
      </w:r>
      <w:r w:rsidR="00B161BC" w:rsidRPr="0046127A">
        <w:rPr>
          <w:rFonts w:ascii="Times New Roman" w:hAnsi="Times New Roman"/>
          <w:sz w:val="24"/>
          <w:szCs w:val="24"/>
          <w:lang w:val="en-US"/>
        </w:rPr>
        <w:t>generalized periodontitis of moderate severity were examined and operated</w:t>
      </w:r>
      <w:r w:rsidR="00E5406C" w:rsidRPr="0046127A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="00B161BC" w:rsidRPr="0046127A">
        <w:rPr>
          <w:rFonts w:ascii="Times New Roman" w:hAnsi="Times New Roman"/>
          <w:color w:val="000000"/>
          <w:sz w:val="24"/>
          <w:szCs w:val="24"/>
          <w:lang w:val="en-US"/>
        </w:rPr>
        <w:t>All patients examined were divided into two groups</w:t>
      </w:r>
      <w:r w:rsidR="00E5406C" w:rsidRPr="0046127A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B161BC" w:rsidRPr="0046127A">
        <w:rPr>
          <w:rFonts w:ascii="Times New Roman" w:hAnsi="Times New Roman"/>
          <w:color w:val="000000"/>
          <w:sz w:val="24"/>
          <w:szCs w:val="24"/>
          <w:lang w:val="en-US"/>
        </w:rPr>
        <w:t xml:space="preserve"> Group 1 included 35 patients</w:t>
      </w:r>
      <w:r w:rsidR="00E5406C" w:rsidRPr="0046127A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,</w:t>
      </w:r>
      <w:r w:rsidR="00B161BC" w:rsidRPr="0046127A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 xml:space="preserve"> who at the surgical stage were subjected to operative interventions according </w:t>
      </w:r>
      <w:r w:rsidR="000577C2" w:rsidRPr="0046127A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 xml:space="preserve">to the modified </w:t>
      </w:r>
      <w:proofErr w:type="spellStart"/>
      <w:r w:rsidR="000577C2" w:rsidRPr="0046127A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Widman</w:t>
      </w:r>
      <w:proofErr w:type="spellEnd"/>
      <w:r w:rsidR="000577C2" w:rsidRPr="0046127A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 xml:space="preserve"> technique</w:t>
      </w:r>
      <w:r w:rsidR="00E5406C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.</w:t>
      </w:r>
      <w:r w:rsidRPr="0046127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0577C2" w:rsidRPr="0046127A">
        <w:rPr>
          <w:rFonts w:ascii="Times New Roman" w:hAnsi="Times New Roman"/>
          <w:color w:val="000000"/>
          <w:sz w:val="24"/>
          <w:szCs w:val="24"/>
          <w:lang w:val="en-US"/>
        </w:rPr>
        <w:t>Group 2 included 35 patients,</w:t>
      </w:r>
      <w:r w:rsidR="000577C2" w:rsidRPr="0046127A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="000577C2" w:rsidRPr="0046127A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who at the surgical stage were subjected to operative interventions according to the same technique, but with the use of lasers</w:t>
      </w:r>
      <w:r w:rsidR="005D2E33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: </w:t>
      </w:r>
      <w:r w:rsidR="000577C2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a continuous </w:t>
      </w:r>
      <w:proofErr w:type="spellStart"/>
      <w:r w:rsidR="000577C2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paramarginal</w:t>
      </w:r>
      <w:proofErr w:type="spellEnd"/>
      <w:r w:rsidR="000577C2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 incision was performed</w:t>
      </w:r>
      <w:r w:rsidR="000577C2" w:rsidRPr="0046127A">
        <w:rPr>
          <w:sz w:val="24"/>
          <w:szCs w:val="24"/>
          <w:lang w:val="en-US"/>
        </w:rPr>
        <w:t xml:space="preserve"> </w:t>
      </w:r>
      <w:r w:rsidR="000577C2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under local anesthesia in the area of </w:t>
      </w:r>
      <w:r w:rsidR="001F5F53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the </w:t>
      </w:r>
      <w:r w:rsidR="000577C2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operated tooth segment</w:t>
      </w:r>
      <w:r w:rsidR="005D2E33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, </w:t>
      </w:r>
      <w:r w:rsidR="00443A0C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the incision was performed by </w:t>
      </w:r>
      <w:proofErr w:type="spellStart"/>
      <w:r w:rsidR="005D2E33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Er</w:t>
      </w:r>
      <w:proofErr w:type="spellEnd"/>
      <w:r w:rsidR="005D2E33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:</w:t>
      </w:r>
      <w:r w:rsidR="00705EA4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 </w:t>
      </w:r>
      <w:r w:rsidR="005D2E33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YAG</w:t>
      </w:r>
      <w:r w:rsidR="001731FD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 </w:t>
      </w:r>
      <w:r w:rsidR="00443A0C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laser</w:t>
      </w:r>
      <w:r w:rsidR="005D2E33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 </w:t>
      </w:r>
      <w:r w:rsidR="001731FD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(</w:t>
      </w:r>
      <w:r w:rsidR="005D2E33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2940</w:t>
      </w:r>
      <w:r w:rsidR="00443A0C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nm</w:t>
      </w:r>
      <w:r w:rsidR="005D2E33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,</w:t>
      </w:r>
      <w:r w:rsidR="00705EA4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 </w:t>
      </w:r>
      <w:r w:rsidR="005D2E33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SSP</w:t>
      </w:r>
      <w:r w:rsidR="001731FD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,</w:t>
      </w:r>
      <w:r w:rsidR="00705EA4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 </w:t>
      </w:r>
      <w:r w:rsidR="005D2E33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2</w:t>
      </w:r>
      <w:r w:rsidR="001731FD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W).</w:t>
      </w:r>
      <w:r w:rsidR="00443A0C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 Then the </w:t>
      </w:r>
      <w:proofErr w:type="spellStart"/>
      <w:r w:rsidR="00443A0C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mucoperiosteal</w:t>
      </w:r>
      <w:proofErr w:type="spellEnd"/>
      <w:r w:rsidR="00443A0C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 flap was raised by the elevator for a better view of surface of the tooth root and </w:t>
      </w:r>
      <w:proofErr w:type="spellStart"/>
      <w:r w:rsidR="00443A0C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alveolaris</w:t>
      </w:r>
      <w:proofErr w:type="spellEnd"/>
      <w:r w:rsidR="00443A0C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="00443A0C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processus</w:t>
      </w:r>
      <w:proofErr w:type="spellEnd"/>
      <w:r w:rsidR="00443A0C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; the second incision was also performed right along the </w:t>
      </w:r>
      <w:proofErr w:type="spellStart"/>
      <w:r w:rsidR="00443A0C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subgingival</w:t>
      </w:r>
      <w:proofErr w:type="spellEnd"/>
      <w:r w:rsidR="00443A0C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 space, around each tooth, raising gums from hard tissues </w:t>
      </w:r>
      <w:r w:rsidR="001F1FA1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of the tooth to the very bottom of the pocket</w:t>
      </w:r>
      <w:r w:rsidR="005D2E33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. </w:t>
      </w:r>
      <w:r w:rsidR="001F1FA1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Next, granulation and pathological epithelium of pockets was removed by </w:t>
      </w:r>
      <w:proofErr w:type="spellStart"/>
      <w:r w:rsidR="001731FD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Nd</w:t>
      </w:r>
      <w:proofErr w:type="spellEnd"/>
      <w:r w:rsidR="001731FD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:</w:t>
      </w:r>
      <w:r w:rsidR="00705EA4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 </w:t>
      </w:r>
      <w:r w:rsidR="001731FD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YAG</w:t>
      </w:r>
      <w:r w:rsidR="005D2E33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 </w:t>
      </w:r>
      <w:r w:rsidR="001F1FA1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laser</w:t>
      </w:r>
      <w:r w:rsidR="005D2E33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,</w:t>
      </w:r>
      <w:r w:rsidR="001F1FA1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 (1,5W)</w:t>
      </w:r>
      <w:r w:rsidR="005D2E33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.</w:t>
      </w:r>
      <w:r w:rsidR="005D2E33" w:rsidRPr="0046127A">
        <w:rPr>
          <w:rFonts w:ascii="Times New Roman" w:hAnsi="Times New Roman"/>
          <w:bCs/>
          <w:color w:val="000000"/>
          <w:spacing w:val="-1"/>
          <w:sz w:val="24"/>
          <w:szCs w:val="24"/>
          <w:lang w:val="en-US"/>
        </w:rPr>
        <w:t xml:space="preserve"> </w:t>
      </w:r>
      <w:r w:rsidR="001F1FA1" w:rsidRPr="0046127A">
        <w:rPr>
          <w:rFonts w:ascii="Times New Roman" w:hAnsi="Times New Roman"/>
          <w:bCs/>
          <w:color w:val="000000"/>
          <w:spacing w:val="-1"/>
          <w:sz w:val="24"/>
          <w:szCs w:val="24"/>
          <w:lang w:val="en-US"/>
        </w:rPr>
        <w:t>At first, granulations were coagulated by the laser</w:t>
      </w:r>
      <w:r w:rsidR="005D2E33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, </w:t>
      </w:r>
      <w:r w:rsidR="001F1FA1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and then they were carefully cleaned using </w:t>
      </w:r>
      <w:proofErr w:type="spellStart"/>
      <w:r w:rsidR="001F1FA1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abrasors</w:t>
      </w:r>
      <w:proofErr w:type="spellEnd"/>
      <w:r w:rsidR="005D2E33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, </w:t>
      </w:r>
      <w:r w:rsidR="001F1FA1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which significantly reduced duration of the surgery</w:t>
      </w:r>
      <w:r w:rsidR="005D2E33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. </w:t>
      </w:r>
      <w:r w:rsidR="001F1FA1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Sharp bony prominences of the </w:t>
      </w:r>
      <w:proofErr w:type="spellStart"/>
      <w:r w:rsidR="001F1FA1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alveolaris</w:t>
      </w:r>
      <w:proofErr w:type="spellEnd"/>
      <w:r w:rsidR="001F1FA1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="001F1FA1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processus</w:t>
      </w:r>
      <w:proofErr w:type="spellEnd"/>
      <w:r w:rsidR="001F1FA1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 were polished by the erbium laser</w:t>
      </w:r>
      <w:r w:rsidR="005D2E33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, </w:t>
      </w:r>
      <w:r w:rsidR="001F1FA1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and tooth root and walls of the bone pocket were treated with this laser</w:t>
      </w:r>
      <w:r w:rsidR="001731FD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, </w:t>
      </w:r>
      <w:r w:rsidR="002C11E0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were closed with </w:t>
      </w:r>
      <w:proofErr w:type="spellStart"/>
      <w:r w:rsidR="002C11E0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automembrane</w:t>
      </w:r>
      <w:proofErr w:type="spellEnd"/>
      <w:r w:rsidR="005D2E33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. </w:t>
      </w:r>
      <w:r w:rsidR="002C11E0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Sutures were applied</w:t>
      </w:r>
      <w:r w:rsidR="005D2E33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. </w:t>
      </w:r>
    </w:p>
    <w:p w:rsidR="00E5406C" w:rsidRPr="0046127A" w:rsidRDefault="002C11E0" w:rsidP="00E540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  <w:lang w:val="en-US"/>
        </w:rPr>
      </w:pPr>
      <w:r w:rsidRPr="0046127A">
        <w:rPr>
          <w:rFonts w:ascii="Times New Roman" w:hAnsi="Times New Roman"/>
          <w:color w:val="000000"/>
          <w:sz w:val="24"/>
          <w:szCs w:val="24"/>
          <w:lang w:val="en-US"/>
        </w:rPr>
        <w:t xml:space="preserve">The periodontal index </w:t>
      </w:r>
      <w:r w:rsidR="00833345" w:rsidRPr="0046127A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46127A">
        <w:rPr>
          <w:rFonts w:ascii="Times New Roman" w:hAnsi="Times New Roman"/>
          <w:color w:val="000000"/>
          <w:sz w:val="24"/>
          <w:szCs w:val="24"/>
          <w:lang w:val="en-US"/>
        </w:rPr>
        <w:t>I (A.L</w:t>
      </w:r>
      <w:r w:rsidR="0046127A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46127A">
        <w:rPr>
          <w:rFonts w:ascii="Times New Roman" w:hAnsi="Times New Roman"/>
          <w:color w:val="000000"/>
          <w:sz w:val="24"/>
          <w:szCs w:val="24"/>
          <w:lang w:val="en-US"/>
        </w:rPr>
        <w:t>Russel</w:t>
      </w:r>
      <w:proofErr w:type="spellEnd"/>
      <w:r w:rsidRPr="0046127A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833345" w:rsidRPr="0046127A">
        <w:rPr>
          <w:rFonts w:ascii="Times New Roman" w:hAnsi="Times New Roman"/>
          <w:color w:val="000000"/>
          <w:sz w:val="24"/>
          <w:szCs w:val="24"/>
          <w:lang w:val="en-US"/>
        </w:rPr>
        <w:t xml:space="preserve"> was determined in all patients</w:t>
      </w:r>
      <w:r w:rsidR="00E5406C" w:rsidRPr="0046127A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46127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833345" w:rsidRPr="0046127A">
        <w:rPr>
          <w:rFonts w:ascii="Times New Roman" w:hAnsi="Times New Roman"/>
          <w:color w:val="000000"/>
          <w:sz w:val="24"/>
          <w:szCs w:val="24"/>
          <w:lang w:val="en-US"/>
        </w:rPr>
        <w:t xml:space="preserve">The depth of periodontal </w:t>
      </w:r>
      <w:r w:rsidR="00705EA4" w:rsidRPr="0046127A">
        <w:rPr>
          <w:rFonts w:ascii="Times New Roman" w:hAnsi="Times New Roman"/>
          <w:color w:val="000000"/>
          <w:sz w:val="24"/>
          <w:szCs w:val="24"/>
          <w:lang w:val="en-US"/>
        </w:rPr>
        <w:t>pockets</w:t>
      </w:r>
      <w:r w:rsidR="00833345" w:rsidRPr="0046127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763355" w:rsidRPr="0046127A">
        <w:rPr>
          <w:rFonts w:ascii="Times New Roman" w:hAnsi="Times New Roman"/>
          <w:color w:val="000000"/>
          <w:sz w:val="24"/>
          <w:szCs w:val="24"/>
          <w:lang w:val="en-US"/>
        </w:rPr>
        <w:t>and the value</w:t>
      </w:r>
      <w:r w:rsidR="00833345" w:rsidRPr="0046127A">
        <w:rPr>
          <w:rFonts w:ascii="Times New Roman" w:hAnsi="Times New Roman"/>
          <w:color w:val="000000"/>
          <w:sz w:val="24"/>
          <w:szCs w:val="24"/>
          <w:lang w:val="en-US"/>
        </w:rPr>
        <w:t xml:space="preserve"> of gingival recession were determined using the classification of gingival recessions according to Miller </w:t>
      </w:r>
      <w:r w:rsidR="00E5406C" w:rsidRPr="0046127A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(1985).</w:t>
      </w:r>
      <w:r w:rsidR="00833345" w:rsidRPr="0046127A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All clinical examination data was recorded pr</w:t>
      </w:r>
      <w:bookmarkStart w:id="0" w:name="_GoBack"/>
      <w:bookmarkEnd w:id="0"/>
      <w:r w:rsidR="00833345" w:rsidRPr="0046127A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ior to surgery, after surgery, within 6 months and within 1 year</w:t>
      </w:r>
      <w:r w:rsidR="00E5406C" w:rsidRPr="0046127A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.</w:t>
      </w:r>
      <w:r w:rsidR="00833345" w:rsidRPr="0046127A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X-ray examination was performed before treatment </w:t>
      </w:r>
      <w:r w:rsidR="00833345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and 6 and 12 after treatment</w:t>
      </w:r>
      <w:r w:rsidR="00BA49CE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.</w:t>
      </w:r>
    </w:p>
    <w:p w:rsidR="00BA49CE" w:rsidRPr="0046127A" w:rsidRDefault="0046127A" w:rsidP="00E540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6127A">
        <w:rPr>
          <w:rFonts w:ascii="Times New Roman" w:hAnsi="Times New Roman"/>
          <w:b/>
          <w:sz w:val="24"/>
          <w:szCs w:val="24"/>
          <w:lang w:val="en-US"/>
        </w:rPr>
        <w:t>Results:</w:t>
      </w:r>
      <w:r w:rsidRPr="0046127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63355" w:rsidRPr="0046127A">
        <w:rPr>
          <w:rFonts w:ascii="Times New Roman" w:hAnsi="Times New Roman"/>
          <w:sz w:val="24"/>
          <w:szCs w:val="24"/>
          <w:lang w:val="en-US"/>
        </w:rPr>
        <w:t>There was no statistically significant difference between indicators</w:t>
      </w:r>
      <w:r w:rsidR="00833345" w:rsidRPr="0046127A">
        <w:rPr>
          <w:rFonts w:ascii="Times New Roman" w:hAnsi="Times New Roman"/>
          <w:sz w:val="24"/>
          <w:szCs w:val="24"/>
          <w:lang w:val="en-US"/>
        </w:rPr>
        <w:t xml:space="preserve"> of depth of periodontal pockets </w:t>
      </w:r>
      <w:r w:rsidR="00763355" w:rsidRPr="0046127A">
        <w:rPr>
          <w:rFonts w:ascii="Times New Roman" w:hAnsi="Times New Roman"/>
          <w:sz w:val="24"/>
          <w:szCs w:val="24"/>
          <w:lang w:val="en-US"/>
        </w:rPr>
        <w:t xml:space="preserve">in patients from Group 2 prior to treatment 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>(6</w:t>
      </w:r>
      <w:r w:rsidR="00763355" w:rsidRPr="0046127A">
        <w:rPr>
          <w:rFonts w:ascii="Times New Roman" w:hAnsi="Times New Roman"/>
          <w:sz w:val="24"/>
          <w:szCs w:val="24"/>
          <w:lang w:val="en-US"/>
        </w:rPr>
        <w:t>.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>6 ± 0</w:t>
      </w:r>
      <w:r w:rsidR="00763355" w:rsidRPr="0046127A">
        <w:rPr>
          <w:rFonts w:ascii="Times New Roman" w:hAnsi="Times New Roman"/>
          <w:sz w:val="24"/>
          <w:szCs w:val="24"/>
          <w:lang w:val="en-US"/>
        </w:rPr>
        <w:t>.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>18</w:t>
      </w:r>
      <w:r w:rsidR="00763355" w:rsidRPr="0046127A">
        <w:rPr>
          <w:rFonts w:ascii="Times New Roman" w:hAnsi="Times New Roman"/>
          <w:sz w:val="24"/>
          <w:szCs w:val="24"/>
          <w:lang w:val="en-US"/>
        </w:rPr>
        <w:t>mm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763355" w:rsidRPr="0046127A">
        <w:rPr>
          <w:rFonts w:ascii="Times New Roman" w:hAnsi="Times New Roman"/>
          <w:sz w:val="24"/>
          <w:szCs w:val="24"/>
          <w:lang w:val="en-US"/>
        </w:rPr>
        <w:t>and these indicators in patients from Group 1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 xml:space="preserve"> (6</w:t>
      </w:r>
      <w:r w:rsidR="00763355" w:rsidRPr="0046127A">
        <w:rPr>
          <w:rFonts w:ascii="Times New Roman" w:hAnsi="Times New Roman"/>
          <w:sz w:val="24"/>
          <w:szCs w:val="24"/>
          <w:lang w:val="en-US"/>
        </w:rPr>
        <w:t>.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>94±0</w:t>
      </w:r>
      <w:r w:rsidR="00763355" w:rsidRPr="0046127A">
        <w:rPr>
          <w:rFonts w:ascii="Times New Roman" w:hAnsi="Times New Roman"/>
          <w:sz w:val="24"/>
          <w:szCs w:val="24"/>
          <w:lang w:val="en-US"/>
        </w:rPr>
        <w:t>.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>21</w:t>
      </w:r>
      <w:r w:rsidR="00763355" w:rsidRPr="0046127A">
        <w:rPr>
          <w:rFonts w:ascii="Times New Roman" w:hAnsi="Times New Roman"/>
          <w:sz w:val="24"/>
          <w:szCs w:val="24"/>
          <w:lang w:val="en-US"/>
        </w:rPr>
        <w:t>mm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 xml:space="preserve">). </w:t>
      </w:r>
      <w:r w:rsidR="00763355" w:rsidRPr="0046127A">
        <w:rPr>
          <w:rFonts w:ascii="Times New Roman" w:hAnsi="Times New Roman"/>
          <w:sz w:val="24"/>
          <w:szCs w:val="24"/>
          <w:lang w:val="en-US"/>
        </w:rPr>
        <w:t xml:space="preserve">6 month after surgery, the result in Group 2 improved 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>(4</w:t>
      </w:r>
      <w:r w:rsidR="00763355" w:rsidRPr="0046127A">
        <w:rPr>
          <w:rFonts w:ascii="Times New Roman" w:hAnsi="Times New Roman"/>
          <w:sz w:val="24"/>
          <w:szCs w:val="24"/>
          <w:lang w:val="en-US"/>
        </w:rPr>
        <w:t>.31±0.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>22</w:t>
      </w:r>
      <w:r w:rsidR="00763355" w:rsidRPr="0046127A">
        <w:rPr>
          <w:rFonts w:ascii="Times New Roman" w:hAnsi="Times New Roman"/>
          <w:sz w:val="24"/>
          <w:szCs w:val="24"/>
          <w:lang w:val="en-US"/>
        </w:rPr>
        <w:t>mm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763355" w:rsidRPr="0046127A">
        <w:rPr>
          <w:rFonts w:ascii="Times New Roman" w:hAnsi="Times New Roman"/>
          <w:sz w:val="24"/>
          <w:szCs w:val="24"/>
          <w:lang w:val="en-US"/>
        </w:rPr>
        <w:t xml:space="preserve">and was significantly different from this parameter in patients from Group 1 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>(5</w:t>
      </w:r>
      <w:r w:rsidR="00763355" w:rsidRPr="0046127A">
        <w:rPr>
          <w:rFonts w:ascii="Times New Roman" w:hAnsi="Times New Roman"/>
          <w:sz w:val="24"/>
          <w:szCs w:val="24"/>
          <w:lang w:val="en-US"/>
        </w:rPr>
        <w:t>.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>37±0</w:t>
      </w:r>
      <w:r w:rsidR="00763355" w:rsidRPr="0046127A">
        <w:rPr>
          <w:rFonts w:ascii="Times New Roman" w:hAnsi="Times New Roman"/>
          <w:sz w:val="24"/>
          <w:szCs w:val="24"/>
          <w:lang w:val="en-US"/>
        </w:rPr>
        <w:t>.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>16</w:t>
      </w:r>
      <w:r w:rsidR="00763355" w:rsidRPr="0046127A">
        <w:rPr>
          <w:rFonts w:ascii="Times New Roman" w:hAnsi="Times New Roman"/>
          <w:sz w:val="24"/>
          <w:szCs w:val="24"/>
          <w:lang w:val="en-US"/>
        </w:rPr>
        <w:t>mm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 xml:space="preserve">). </w:t>
      </w:r>
      <w:r w:rsidR="00763355" w:rsidRPr="0046127A">
        <w:rPr>
          <w:rFonts w:ascii="Times New Roman" w:hAnsi="Times New Roman"/>
          <w:sz w:val="24"/>
          <w:szCs w:val="24"/>
          <w:lang w:val="en-US"/>
        </w:rPr>
        <w:t xml:space="preserve">At one year, indicators in Group 2 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>(3</w:t>
      </w:r>
      <w:r w:rsidR="00763355" w:rsidRPr="0046127A">
        <w:rPr>
          <w:rFonts w:ascii="Times New Roman" w:hAnsi="Times New Roman"/>
          <w:sz w:val="24"/>
          <w:szCs w:val="24"/>
          <w:lang w:val="en-US"/>
        </w:rPr>
        <w:t>.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>86±0</w:t>
      </w:r>
      <w:r w:rsidR="00763355" w:rsidRPr="0046127A">
        <w:rPr>
          <w:rFonts w:ascii="Times New Roman" w:hAnsi="Times New Roman"/>
          <w:sz w:val="24"/>
          <w:szCs w:val="24"/>
          <w:lang w:val="en-US"/>
        </w:rPr>
        <w:t>.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>2</w:t>
      </w:r>
      <w:r w:rsidR="00763355" w:rsidRPr="0046127A">
        <w:rPr>
          <w:rFonts w:ascii="Times New Roman" w:hAnsi="Times New Roman"/>
          <w:sz w:val="24"/>
          <w:szCs w:val="24"/>
          <w:lang w:val="en-US"/>
        </w:rPr>
        <w:t>mm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>)</w:t>
      </w:r>
      <w:r w:rsidR="00763355" w:rsidRPr="0046127A">
        <w:rPr>
          <w:rFonts w:ascii="Times New Roman" w:hAnsi="Times New Roman"/>
          <w:sz w:val="24"/>
          <w:szCs w:val="24"/>
          <w:lang w:val="en-US"/>
        </w:rPr>
        <w:t xml:space="preserve"> were also significantly better than in Group 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>1 (5</w:t>
      </w:r>
      <w:r w:rsidR="00763355" w:rsidRPr="0046127A">
        <w:rPr>
          <w:rFonts w:ascii="Times New Roman" w:hAnsi="Times New Roman"/>
          <w:sz w:val="24"/>
          <w:szCs w:val="24"/>
          <w:lang w:val="en-US"/>
        </w:rPr>
        <w:t>.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>6±0</w:t>
      </w:r>
      <w:r w:rsidR="00763355" w:rsidRPr="0046127A">
        <w:rPr>
          <w:rFonts w:ascii="Times New Roman" w:hAnsi="Times New Roman"/>
          <w:sz w:val="24"/>
          <w:szCs w:val="24"/>
          <w:lang w:val="en-US"/>
        </w:rPr>
        <w:t>.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>21</w:t>
      </w:r>
      <w:r w:rsidR="00763355" w:rsidRPr="0046127A">
        <w:rPr>
          <w:rFonts w:ascii="Times New Roman" w:hAnsi="Times New Roman"/>
          <w:sz w:val="24"/>
          <w:szCs w:val="24"/>
          <w:lang w:val="en-US"/>
        </w:rPr>
        <w:t>mm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>)</w:t>
      </w:r>
    </w:p>
    <w:p w:rsidR="00BA49CE" w:rsidRPr="0046127A" w:rsidRDefault="00763355" w:rsidP="00BA49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6127A">
        <w:rPr>
          <w:rFonts w:ascii="Times New Roman" w:hAnsi="Times New Roman"/>
          <w:color w:val="000000"/>
          <w:sz w:val="24"/>
          <w:szCs w:val="24"/>
          <w:lang w:val="en-US"/>
        </w:rPr>
        <w:t xml:space="preserve">The value of gingival recession </w:t>
      </w:r>
      <w:r w:rsidR="00204BCD" w:rsidRPr="0046127A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according to </w:t>
      </w:r>
      <w:r w:rsidR="00204BCD" w:rsidRPr="0046127A">
        <w:rPr>
          <w:rFonts w:ascii="Times New Roman" w:hAnsi="Times New Roman"/>
          <w:color w:val="000000"/>
          <w:sz w:val="24"/>
          <w:szCs w:val="24"/>
          <w:lang w:val="en-US"/>
        </w:rPr>
        <w:t xml:space="preserve">Miller </w:t>
      </w:r>
      <w:r w:rsidR="00204BCD" w:rsidRPr="0046127A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(1985) prior to treatment in Group 1 was on average 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>2</w:t>
      </w:r>
      <w:r w:rsidR="00204BCD" w:rsidRPr="0046127A">
        <w:rPr>
          <w:rFonts w:ascii="Times New Roman" w:hAnsi="Times New Roman"/>
          <w:sz w:val="24"/>
          <w:szCs w:val="24"/>
          <w:lang w:val="en-US"/>
        </w:rPr>
        <w:t>.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>2±0</w:t>
      </w:r>
      <w:r w:rsidR="00204BCD" w:rsidRPr="0046127A">
        <w:rPr>
          <w:rFonts w:ascii="Times New Roman" w:hAnsi="Times New Roman"/>
          <w:sz w:val="24"/>
          <w:szCs w:val="24"/>
          <w:lang w:val="en-US"/>
        </w:rPr>
        <w:t>.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>07</w:t>
      </w:r>
      <w:r w:rsidR="00204BCD" w:rsidRPr="0046127A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mm</w:t>
      </w:r>
      <w:r w:rsidR="00BA49CE" w:rsidRPr="0046127A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.</w:t>
      </w:r>
      <w:r w:rsidR="00204BCD" w:rsidRPr="0046127A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6 months after operative intervention, </w:t>
      </w:r>
      <w:r w:rsidR="00204BCD" w:rsidRPr="0046127A">
        <w:rPr>
          <w:rFonts w:ascii="Times New Roman" w:hAnsi="Times New Roman"/>
          <w:color w:val="000000"/>
          <w:sz w:val="24"/>
          <w:szCs w:val="24"/>
          <w:lang w:val="en-US"/>
        </w:rPr>
        <w:t xml:space="preserve">recession significantly increased </w:t>
      </w:r>
      <w:r w:rsidR="00204BCD" w:rsidRPr="0046127A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up to 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>3</w:t>
      </w:r>
      <w:r w:rsidR="00204BCD" w:rsidRPr="0046127A">
        <w:rPr>
          <w:rFonts w:ascii="Times New Roman" w:hAnsi="Times New Roman"/>
          <w:sz w:val="24"/>
          <w:szCs w:val="24"/>
          <w:lang w:val="en-US"/>
        </w:rPr>
        <w:t>.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>2±0</w:t>
      </w:r>
      <w:r w:rsidR="00204BCD" w:rsidRPr="0046127A">
        <w:rPr>
          <w:rFonts w:ascii="Times New Roman" w:hAnsi="Times New Roman"/>
          <w:sz w:val="24"/>
          <w:szCs w:val="24"/>
          <w:lang w:val="en-US"/>
        </w:rPr>
        <w:t>.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>07</w:t>
      </w:r>
      <w:r w:rsidR="00204BCD" w:rsidRPr="0046127A">
        <w:rPr>
          <w:rFonts w:ascii="Times New Roman" w:hAnsi="Times New Roman"/>
          <w:sz w:val="24"/>
          <w:szCs w:val="24"/>
          <w:lang w:val="en-US"/>
        </w:rPr>
        <w:t>mm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04BCD" w:rsidRPr="0046127A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1F5F53" w:rsidRPr="0046127A">
        <w:rPr>
          <w:rFonts w:ascii="Times New Roman" w:hAnsi="Times New Roman"/>
          <w:sz w:val="24"/>
          <w:szCs w:val="24"/>
          <w:lang w:val="en-US"/>
        </w:rPr>
        <w:t>at</w:t>
      </w:r>
      <w:r w:rsidR="00204BCD" w:rsidRPr="0046127A">
        <w:rPr>
          <w:rFonts w:ascii="Times New Roman" w:hAnsi="Times New Roman"/>
          <w:sz w:val="24"/>
          <w:szCs w:val="24"/>
          <w:lang w:val="en-US"/>
        </w:rPr>
        <w:t xml:space="preserve"> one year it remained almost without changes</w:t>
      </w:r>
      <w:r w:rsidR="001571C0" w:rsidRPr="0046127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>– 3</w:t>
      </w:r>
      <w:r w:rsidR="00204BCD" w:rsidRPr="0046127A">
        <w:rPr>
          <w:rFonts w:ascii="Times New Roman" w:hAnsi="Times New Roman"/>
          <w:sz w:val="24"/>
          <w:szCs w:val="24"/>
          <w:lang w:val="en-US"/>
        </w:rPr>
        <w:t>.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>11±0</w:t>
      </w:r>
      <w:r w:rsidR="00204BCD" w:rsidRPr="0046127A">
        <w:rPr>
          <w:rFonts w:ascii="Times New Roman" w:hAnsi="Times New Roman"/>
          <w:sz w:val="24"/>
          <w:szCs w:val="24"/>
          <w:lang w:val="en-US"/>
        </w:rPr>
        <w:t>.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>07</w:t>
      </w:r>
      <w:r w:rsidR="00204BCD" w:rsidRPr="0046127A">
        <w:rPr>
          <w:rFonts w:ascii="Times New Roman" w:hAnsi="Times New Roman"/>
          <w:sz w:val="24"/>
          <w:szCs w:val="24"/>
          <w:lang w:val="en-US"/>
        </w:rPr>
        <w:t>mm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 xml:space="preserve"> (р &gt; 0</w:t>
      </w:r>
      <w:r w:rsidR="00204BCD" w:rsidRPr="0046127A">
        <w:rPr>
          <w:rFonts w:ascii="Times New Roman" w:hAnsi="Times New Roman"/>
          <w:sz w:val="24"/>
          <w:szCs w:val="24"/>
          <w:lang w:val="en-US"/>
        </w:rPr>
        <w:t>.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>05).</w:t>
      </w:r>
      <w:r w:rsidR="00BA49CE" w:rsidRPr="0046127A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="00204BCD" w:rsidRPr="0046127A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Group 2 patients prior to treatment had </w:t>
      </w:r>
      <w:r w:rsidR="00204BCD" w:rsidRPr="0046127A">
        <w:rPr>
          <w:rFonts w:ascii="Times New Roman" w:hAnsi="Times New Roman"/>
          <w:color w:val="000000"/>
          <w:sz w:val="24"/>
          <w:szCs w:val="24"/>
          <w:lang w:val="en-US"/>
        </w:rPr>
        <w:t xml:space="preserve">recession value of 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>2</w:t>
      </w:r>
      <w:r w:rsidR="00204BCD" w:rsidRPr="0046127A">
        <w:rPr>
          <w:rFonts w:ascii="Times New Roman" w:hAnsi="Times New Roman"/>
          <w:sz w:val="24"/>
          <w:szCs w:val="24"/>
          <w:lang w:val="en-US"/>
        </w:rPr>
        <w:t>.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>23±0</w:t>
      </w:r>
      <w:r w:rsidR="00204BCD" w:rsidRPr="0046127A">
        <w:rPr>
          <w:rFonts w:ascii="Times New Roman" w:hAnsi="Times New Roman"/>
          <w:sz w:val="24"/>
          <w:szCs w:val="24"/>
          <w:lang w:val="en-US"/>
        </w:rPr>
        <w:t>.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>07</w:t>
      </w:r>
      <w:r w:rsidR="00204BCD" w:rsidRPr="0046127A">
        <w:rPr>
          <w:rFonts w:ascii="Times New Roman" w:hAnsi="Times New Roman"/>
          <w:sz w:val="24"/>
          <w:szCs w:val="24"/>
          <w:lang w:val="en-US"/>
        </w:rPr>
        <w:t>mm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04BCD" w:rsidRPr="0046127A">
        <w:rPr>
          <w:rFonts w:ascii="Times New Roman" w:hAnsi="Times New Roman"/>
          <w:sz w:val="24"/>
          <w:szCs w:val="24"/>
          <w:lang w:val="en-US"/>
        </w:rPr>
        <w:t xml:space="preserve">6 month after surgical stage of treatment </w:t>
      </w:r>
      <w:r w:rsidR="00204BCD" w:rsidRPr="0046127A">
        <w:rPr>
          <w:rFonts w:ascii="Times New Roman" w:hAnsi="Times New Roman"/>
          <w:color w:val="000000"/>
          <w:sz w:val="24"/>
          <w:szCs w:val="24"/>
          <w:lang w:val="en-US"/>
        </w:rPr>
        <w:t xml:space="preserve">recession significantly increased up to 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>3</w:t>
      </w:r>
      <w:r w:rsidR="00204BCD" w:rsidRPr="0046127A">
        <w:rPr>
          <w:rFonts w:ascii="Times New Roman" w:hAnsi="Times New Roman"/>
          <w:sz w:val="24"/>
          <w:szCs w:val="24"/>
          <w:lang w:val="en-US"/>
        </w:rPr>
        <w:t>.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>0±0</w:t>
      </w:r>
      <w:r w:rsidR="00204BCD" w:rsidRPr="0046127A">
        <w:rPr>
          <w:rFonts w:ascii="Times New Roman" w:hAnsi="Times New Roman"/>
          <w:sz w:val="24"/>
          <w:szCs w:val="24"/>
          <w:lang w:val="en-US"/>
        </w:rPr>
        <w:t>.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>02</w:t>
      </w:r>
      <w:r w:rsidR="00204BCD" w:rsidRPr="0046127A">
        <w:rPr>
          <w:rFonts w:ascii="Times New Roman" w:hAnsi="Times New Roman"/>
          <w:sz w:val="24"/>
          <w:szCs w:val="24"/>
          <w:lang w:val="en-US"/>
        </w:rPr>
        <w:t>mm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04BCD" w:rsidRPr="0046127A">
        <w:rPr>
          <w:rFonts w:ascii="Times New Roman" w:hAnsi="Times New Roman"/>
          <w:sz w:val="24"/>
          <w:szCs w:val="24"/>
          <w:lang w:val="en-US"/>
        </w:rPr>
        <w:t xml:space="preserve">in one year indicators significantly improved and remained stable at 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>2</w:t>
      </w:r>
      <w:r w:rsidR="00204BCD" w:rsidRPr="0046127A">
        <w:rPr>
          <w:rFonts w:ascii="Times New Roman" w:hAnsi="Times New Roman"/>
          <w:sz w:val="24"/>
          <w:szCs w:val="24"/>
          <w:lang w:val="en-US"/>
        </w:rPr>
        <w:t>.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>54±0</w:t>
      </w:r>
      <w:r w:rsidR="00204BCD" w:rsidRPr="0046127A">
        <w:rPr>
          <w:rFonts w:ascii="Times New Roman" w:hAnsi="Times New Roman"/>
          <w:sz w:val="24"/>
          <w:szCs w:val="24"/>
          <w:lang w:val="en-US"/>
        </w:rPr>
        <w:t>.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>09</w:t>
      </w:r>
      <w:r w:rsidR="00204BCD" w:rsidRPr="0046127A">
        <w:rPr>
          <w:rFonts w:ascii="Times New Roman" w:hAnsi="Times New Roman"/>
          <w:sz w:val="24"/>
          <w:szCs w:val="24"/>
          <w:lang w:val="en-US"/>
        </w:rPr>
        <w:t>mm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 xml:space="preserve"> .</w:t>
      </w:r>
    </w:p>
    <w:p w:rsidR="00BA49CE" w:rsidRPr="0046127A" w:rsidRDefault="0001780B" w:rsidP="00BA49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6127A">
        <w:rPr>
          <w:rFonts w:ascii="Times New Roman" w:hAnsi="Times New Roman"/>
          <w:color w:val="000000"/>
          <w:sz w:val="24"/>
          <w:szCs w:val="24"/>
          <w:lang w:val="en-US"/>
        </w:rPr>
        <w:t xml:space="preserve">РІ </w:t>
      </w:r>
      <w:r w:rsidR="00204BCD" w:rsidRPr="0046127A">
        <w:rPr>
          <w:rFonts w:ascii="Times New Roman" w:hAnsi="Times New Roman"/>
          <w:color w:val="000000"/>
          <w:sz w:val="24"/>
          <w:szCs w:val="24"/>
          <w:lang w:val="en-US"/>
        </w:rPr>
        <w:t xml:space="preserve">Index </w:t>
      </w:r>
      <w:r w:rsidRPr="0046127A">
        <w:rPr>
          <w:rFonts w:ascii="Times New Roman" w:hAnsi="Times New Roman"/>
          <w:color w:val="000000"/>
          <w:sz w:val="24"/>
          <w:szCs w:val="24"/>
          <w:lang w:val="en-US"/>
        </w:rPr>
        <w:t>(A.L</w:t>
      </w:r>
      <w:r w:rsidR="00705EA4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46127A">
        <w:rPr>
          <w:rFonts w:ascii="Times New Roman" w:hAnsi="Times New Roman"/>
          <w:color w:val="000000"/>
          <w:sz w:val="24"/>
          <w:szCs w:val="24"/>
          <w:lang w:val="en-US"/>
        </w:rPr>
        <w:t>Russel</w:t>
      </w:r>
      <w:proofErr w:type="spellEnd"/>
      <w:r w:rsidRPr="0046127A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04BCD" w:rsidRPr="0046127A">
        <w:rPr>
          <w:rFonts w:ascii="Times New Roman" w:hAnsi="Times New Roman"/>
          <w:sz w:val="24"/>
          <w:szCs w:val="24"/>
          <w:lang w:val="en-US"/>
        </w:rPr>
        <w:t xml:space="preserve">in patients from Group 2 prior to treatment was 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>3</w:t>
      </w:r>
      <w:r w:rsidR="00204BCD" w:rsidRPr="0046127A">
        <w:rPr>
          <w:rFonts w:ascii="Times New Roman" w:hAnsi="Times New Roman"/>
          <w:sz w:val="24"/>
          <w:szCs w:val="24"/>
          <w:lang w:val="en-US"/>
        </w:rPr>
        <w:t>.81±0.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 xml:space="preserve">19, </w:t>
      </w:r>
      <w:r w:rsidR="00204BCD" w:rsidRPr="0046127A">
        <w:rPr>
          <w:rFonts w:ascii="Times New Roman" w:hAnsi="Times New Roman"/>
          <w:sz w:val="24"/>
          <w:szCs w:val="24"/>
          <w:lang w:val="en-US"/>
        </w:rPr>
        <w:t>6 month after surgical stage of treatment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04BCD" w:rsidRPr="0046127A">
        <w:rPr>
          <w:rFonts w:ascii="Times New Roman" w:hAnsi="Times New Roman"/>
          <w:sz w:val="24"/>
          <w:szCs w:val="24"/>
          <w:lang w:val="en-US"/>
        </w:rPr>
        <w:t xml:space="preserve">during control examination, the index significantly decreased to 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>2</w:t>
      </w:r>
      <w:r w:rsidR="00204BCD" w:rsidRPr="0046127A">
        <w:rPr>
          <w:rFonts w:ascii="Times New Roman" w:hAnsi="Times New Roman"/>
          <w:sz w:val="24"/>
          <w:szCs w:val="24"/>
          <w:lang w:val="en-US"/>
        </w:rPr>
        <w:t>.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>24±0</w:t>
      </w:r>
      <w:r w:rsidR="00204BCD" w:rsidRPr="0046127A">
        <w:rPr>
          <w:rFonts w:ascii="Times New Roman" w:hAnsi="Times New Roman"/>
          <w:sz w:val="24"/>
          <w:szCs w:val="24"/>
          <w:lang w:val="en-US"/>
        </w:rPr>
        <w:t>.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>18 (р &lt; 0</w:t>
      </w:r>
      <w:r w:rsidR="00204BCD" w:rsidRPr="0046127A">
        <w:rPr>
          <w:rFonts w:ascii="Times New Roman" w:hAnsi="Times New Roman"/>
          <w:sz w:val="24"/>
          <w:szCs w:val="24"/>
          <w:lang w:val="en-US"/>
        </w:rPr>
        <w:t>.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 xml:space="preserve">05), </w:t>
      </w:r>
      <w:r w:rsidR="00204BCD" w:rsidRPr="0046127A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1F5F53" w:rsidRPr="0046127A">
        <w:rPr>
          <w:rFonts w:ascii="Times New Roman" w:hAnsi="Times New Roman"/>
          <w:sz w:val="24"/>
          <w:szCs w:val="24"/>
          <w:lang w:val="en-US"/>
        </w:rPr>
        <w:t>at</w:t>
      </w:r>
      <w:r w:rsidR="00204BCD" w:rsidRPr="0046127A">
        <w:rPr>
          <w:rFonts w:ascii="Times New Roman" w:hAnsi="Times New Roman"/>
          <w:sz w:val="24"/>
          <w:szCs w:val="24"/>
          <w:lang w:val="en-US"/>
        </w:rPr>
        <w:t xml:space="preserve"> one year </w:t>
      </w:r>
      <w:r w:rsidR="00ED7947" w:rsidRPr="0046127A">
        <w:rPr>
          <w:rFonts w:ascii="Times New Roman" w:hAnsi="Times New Roman"/>
          <w:sz w:val="24"/>
          <w:szCs w:val="24"/>
          <w:lang w:val="en-US"/>
        </w:rPr>
        <w:t xml:space="preserve">remained </w:t>
      </w:r>
      <w:r w:rsidR="00204BCD" w:rsidRPr="0046127A">
        <w:rPr>
          <w:rFonts w:ascii="Times New Roman" w:hAnsi="Times New Roman"/>
          <w:sz w:val="24"/>
          <w:szCs w:val="24"/>
          <w:lang w:val="en-US"/>
        </w:rPr>
        <w:t xml:space="preserve">almost </w:t>
      </w:r>
      <w:r w:rsidR="00ED7947" w:rsidRPr="0046127A">
        <w:rPr>
          <w:rFonts w:ascii="Times New Roman" w:hAnsi="Times New Roman"/>
          <w:sz w:val="24"/>
          <w:szCs w:val="24"/>
          <w:lang w:val="en-US"/>
        </w:rPr>
        <w:t xml:space="preserve">unchanged 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>(2</w:t>
      </w:r>
      <w:r w:rsidR="00ED7947" w:rsidRPr="0046127A">
        <w:rPr>
          <w:rFonts w:ascii="Times New Roman" w:hAnsi="Times New Roman"/>
          <w:sz w:val="24"/>
          <w:szCs w:val="24"/>
          <w:lang w:val="en-US"/>
        </w:rPr>
        <w:t>.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>3±0</w:t>
      </w:r>
      <w:r w:rsidR="00ED7947" w:rsidRPr="0046127A">
        <w:rPr>
          <w:rFonts w:ascii="Times New Roman" w:hAnsi="Times New Roman"/>
          <w:sz w:val="24"/>
          <w:szCs w:val="24"/>
          <w:lang w:val="en-US"/>
        </w:rPr>
        <w:t>.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>19) (р &gt; 0</w:t>
      </w:r>
      <w:r w:rsidR="00ED7947" w:rsidRPr="0046127A">
        <w:rPr>
          <w:rFonts w:ascii="Times New Roman" w:hAnsi="Times New Roman"/>
          <w:sz w:val="24"/>
          <w:szCs w:val="24"/>
          <w:lang w:val="en-US"/>
        </w:rPr>
        <w:t>.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>05).</w:t>
      </w:r>
      <w:r w:rsidR="00ED7947" w:rsidRPr="0046127A">
        <w:rPr>
          <w:rFonts w:ascii="Times New Roman" w:hAnsi="Times New Roman"/>
          <w:sz w:val="24"/>
          <w:szCs w:val="24"/>
          <w:lang w:val="en-US"/>
        </w:rPr>
        <w:t xml:space="preserve"> In Group 1 patients prior to treatment this indicator was at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 xml:space="preserve"> 4</w:t>
      </w:r>
      <w:r w:rsidR="00ED7947" w:rsidRPr="0046127A">
        <w:rPr>
          <w:rFonts w:ascii="Times New Roman" w:hAnsi="Times New Roman"/>
          <w:sz w:val="24"/>
          <w:szCs w:val="24"/>
          <w:lang w:val="en-US"/>
        </w:rPr>
        <w:t>.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>22±0</w:t>
      </w:r>
      <w:r w:rsidR="00ED7947" w:rsidRPr="0046127A">
        <w:rPr>
          <w:rFonts w:ascii="Times New Roman" w:hAnsi="Times New Roman"/>
          <w:sz w:val="24"/>
          <w:szCs w:val="24"/>
          <w:lang w:val="en-US"/>
        </w:rPr>
        <w:t>.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 xml:space="preserve">06, </w:t>
      </w:r>
      <w:r w:rsidR="00ED7947" w:rsidRPr="0046127A">
        <w:rPr>
          <w:rFonts w:ascii="Times New Roman" w:hAnsi="Times New Roman"/>
          <w:sz w:val="24"/>
          <w:szCs w:val="24"/>
          <w:lang w:val="en-US"/>
        </w:rPr>
        <w:t xml:space="preserve">6 month after treatment it also significantly decreased to 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>2</w:t>
      </w:r>
      <w:r w:rsidR="00ED7947" w:rsidRPr="0046127A">
        <w:rPr>
          <w:rFonts w:ascii="Times New Roman" w:hAnsi="Times New Roman"/>
          <w:sz w:val="24"/>
          <w:szCs w:val="24"/>
          <w:lang w:val="en-US"/>
        </w:rPr>
        <w:t>.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>06±0</w:t>
      </w:r>
      <w:r w:rsidR="00ED7947" w:rsidRPr="0046127A">
        <w:rPr>
          <w:rFonts w:ascii="Times New Roman" w:hAnsi="Times New Roman"/>
          <w:sz w:val="24"/>
          <w:szCs w:val="24"/>
          <w:lang w:val="en-US"/>
        </w:rPr>
        <w:t>.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 xml:space="preserve">17 </w:t>
      </w:r>
      <w:r w:rsidR="00ED7947" w:rsidRPr="0046127A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1F5F53" w:rsidRPr="0046127A">
        <w:rPr>
          <w:rFonts w:ascii="Times New Roman" w:hAnsi="Times New Roman"/>
          <w:sz w:val="24"/>
          <w:szCs w:val="24"/>
          <w:lang w:val="en-US"/>
        </w:rPr>
        <w:t>at</w:t>
      </w:r>
      <w:r w:rsidR="00ED7947" w:rsidRPr="0046127A">
        <w:rPr>
          <w:rFonts w:ascii="Times New Roman" w:hAnsi="Times New Roman"/>
          <w:sz w:val="24"/>
          <w:szCs w:val="24"/>
          <w:lang w:val="en-US"/>
        </w:rPr>
        <w:t xml:space="preserve"> one year it remained at the same level 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>(1</w:t>
      </w:r>
      <w:r w:rsidR="00ED7947" w:rsidRPr="0046127A">
        <w:rPr>
          <w:rFonts w:ascii="Times New Roman" w:hAnsi="Times New Roman"/>
          <w:sz w:val="24"/>
          <w:szCs w:val="24"/>
          <w:lang w:val="en-US"/>
        </w:rPr>
        <w:t>.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>98±0</w:t>
      </w:r>
      <w:r w:rsidR="00ED7947" w:rsidRPr="0046127A">
        <w:rPr>
          <w:rFonts w:ascii="Times New Roman" w:hAnsi="Times New Roman"/>
          <w:sz w:val="24"/>
          <w:szCs w:val="24"/>
          <w:lang w:val="en-US"/>
        </w:rPr>
        <w:t>.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>15) (р &gt; 0</w:t>
      </w:r>
      <w:r w:rsidR="00ED7947" w:rsidRPr="0046127A">
        <w:rPr>
          <w:rFonts w:ascii="Times New Roman" w:hAnsi="Times New Roman"/>
          <w:sz w:val="24"/>
          <w:szCs w:val="24"/>
          <w:lang w:val="en-US"/>
        </w:rPr>
        <w:t>.</w:t>
      </w:r>
      <w:r w:rsidR="00BA49CE" w:rsidRPr="0046127A">
        <w:rPr>
          <w:rFonts w:ascii="Times New Roman" w:hAnsi="Times New Roman"/>
          <w:sz w:val="24"/>
          <w:szCs w:val="24"/>
          <w:lang w:val="en-US"/>
        </w:rPr>
        <w:t>05).</w:t>
      </w:r>
    </w:p>
    <w:p w:rsidR="00745056" w:rsidRPr="0046127A" w:rsidRDefault="0046127A" w:rsidP="004612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6127A">
        <w:rPr>
          <w:rFonts w:ascii="Times New Roman" w:hAnsi="Times New Roman"/>
          <w:b/>
          <w:sz w:val="24"/>
          <w:szCs w:val="24"/>
          <w:lang w:val="en-US"/>
        </w:rPr>
        <w:t>Conclusions:</w:t>
      </w:r>
      <w:r w:rsidRPr="0046127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D7947" w:rsidRPr="0046127A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The results of our own observations have shown that the developed method of surgical treatment of </w:t>
      </w:r>
      <w:r w:rsidR="00ED7947" w:rsidRPr="0046127A">
        <w:rPr>
          <w:rFonts w:ascii="Times New Roman" w:hAnsi="Times New Roman"/>
          <w:sz w:val="24"/>
          <w:szCs w:val="24"/>
          <w:lang w:val="en-US"/>
        </w:rPr>
        <w:t xml:space="preserve">generalized periodontitis </w:t>
      </w:r>
      <w:r w:rsidR="00ED7947" w:rsidRPr="0046127A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with the use of </w:t>
      </w:r>
      <w:proofErr w:type="spellStart"/>
      <w:r w:rsidR="00E44D1E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Er</w:t>
      </w:r>
      <w:proofErr w:type="spellEnd"/>
      <w:r w:rsidR="00E44D1E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:</w:t>
      </w:r>
      <w:r w:rsidR="00705EA4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 </w:t>
      </w:r>
      <w:r w:rsidR="00E44D1E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YAG (</w:t>
      </w:r>
      <w:r w:rsidR="00ED7947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erbium with wavelength of 2940 nm</w:t>
      </w:r>
      <w:r w:rsidR="00E44D1E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) </w:t>
      </w:r>
      <w:r w:rsidR="00ED7947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and</w:t>
      </w:r>
      <w:r w:rsidR="00E44D1E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="00E44D1E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Nd</w:t>
      </w:r>
      <w:proofErr w:type="spellEnd"/>
      <w:r w:rsidR="00E44D1E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:</w:t>
      </w:r>
      <w:r w:rsidR="00705EA4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 </w:t>
      </w:r>
      <w:r w:rsidR="00E44D1E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YAG (</w:t>
      </w:r>
      <w:r w:rsidR="00ED7947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neodymium with wavelength of 1064 nm</w:t>
      </w:r>
      <w:r w:rsidR="001F5F53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)</w:t>
      </w:r>
      <w:r w:rsidR="00ED7947" w:rsidRPr="0046127A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 </w:t>
      </w:r>
      <w:r w:rsidR="00ED7947" w:rsidRPr="0046127A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was effective</w:t>
      </w:r>
      <w:r w:rsidR="0001780B" w:rsidRPr="0046127A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.</w:t>
      </w:r>
    </w:p>
    <w:sectPr w:rsidR="00745056" w:rsidRPr="0046127A" w:rsidSect="001B40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5406C"/>
    <w:rsid w:val="0001780B"/>
    <w:rsid w:val="000577C2"/>
    <w:rsid w:val="00100686"/>
    <w:rsid w:val="00102147"/>
    <w:rsid w:val="001571C0"/>
    <w:rsid w:val="001731FD"/>
    <w:rsid w:val="001B4019"/>
    <w:rsid w:val="001F1FA1"/>
    <w:rsid w:val="001F5F53"/>
    <w:rsid w:val="00204BCD"/>
    <w:rsid w:val="002C11E0"/>
    <w:rsid w:val="003E331A"/>
    <w:rsid w:val="00443A0C"/>
    <w:rsid w:val="0046127A"/>
    <w:rsid w:val="005D2E33"/>
    <w:rsid w:val="00705EA4"/>
    <w:rsid w:val="00715028"/>
    <w:rsid w:val="00745056"/>
    <w:rsid w:val="00763355"/>
    <w:rsid w:val="00833345"/>
    <w:rsid w:val="00866BBD"/>
    <w:rsid w:val="008C1F3F"/>
    <w:rsid w:val="0090666B"/>
    <w:rsid w:val="00A34803"/>
    <w:rsid w:val="00A70D6F"/>
    <w:rsid w:val="00AA5DF6"/>
    <w:rsid w:val="00B161BC"/>
    <w:rsid w:val="00BA1DE5"/>
    <w:rsid w:val="00BA49CE"/>
    <w:rsid w:val="00E154F3"/>
    <w:rsid w:val="00E44D1E"/>
    <w:rsid w:val="00E5406C"/>
    <w:rsid w:val="00ED7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6C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6C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qwerty</cp:lastModifiedBy>
  <cp:revision>13</cp:revision>
  <dcterms:created xsi:type="dcterms:W3CDTF">2015-02-23T12:39:00Z</dcterms:created>
  <dcterms:modified xsi:type="dcterms:W3CDTF">2015-04-14T09:40:00Z</dcterms:modified>
</cp:coreProperties>
</file>