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56" w:rsidRPr="007D7F56" w:rsidRDefault="007D7F56" w:rsidP="007D7F56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Результаты при</w:t>
      </w:r>
      <w:r w:rsidR="009219DE">
        <w:rPr>
          <w:rFonts w:ascii="Times New Roman" w:hAnsi="Times New Roman" w:cs="Times New Roman"/>
          <w:color w:val="000000"/>
          <w:sz w:val="28"/>
          <w:szCs w:val="28"/>
        </w:rPr>
        <w:t>менения агонистов гонадотропин-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рилизинг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-гормона в качестве триггера финального дозревания ооцитов при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оводонации</w:t>
      </w:r>
      <w:proofErr w:type="spellEnd"/>
    </w:p>
    <w:p w:rsidR="007D7F56" w:rsidRPr="007D7F56" w:rsidRDefault="007D7F56" w:rsidP="007D7F56">
      <w:pPr>
        <w:pStyle w:val="7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7F56">
        <w:rPr>
          <w:rStyle w:val="70pt"/>
          <w:rFonts w:ascii="Times New Roman" w:hAnsi="Times New Roman" w:cs="Times New Roman"/>
          <w:sz w:val="28"/>
          <w:szCs w:val="28"/>
        </w:rPr>
        <w:t>Паращук</w:t>
      </w:r>
      <w:r w:rsidRPr="007D7F56">
        <w:rPr>
          <w:rStyle w:val="7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F56">
        <w:rPr>
          <w:rStyle w:val="70pt1"/>
          <w:rFonts w:ascii="Times New Roman" w:hAnsi="Times New Roman" w:cs="Times New Roman"/>
          <w:sz w:val="28"/>
          <w:szCs w:val="28"/>
        </w:rPr>
        <w:t xml:space="preserve">В.Ю., 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канд. мед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аук, ассистент, </w:t>
      </w:r>
      <w:r w:rsidRPr="007D7F56">
        <w:rPr>
          <w:rStyle w:val="70pt"/>
          <w:rFonts w:ascii="Times New Roman" w:hAnsi="Times New Roman" w:cs="Times New Roman"/>
          <w:sz w:val="28"/>
          <w:szCs w:val="28"/>
        </w:rPr>
        <w:t>Грищенко</w:t>
      </w:r>
      <w:r w:rsidRPr="007D7F56">
        <w:rPr>
          <w:rStyle w:val="7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7F56">
        <w:rPr>
          <w:rStyle w:val="70pt1"/>
          <w:rFonts w:ascii="Times New Roman" w:hAnsi="Times New Roman" w:cs="Times New Roman"/>
          <w:sz w:val="28"/>
          <w:szCs w:val="28"/>
        </w:rPr>
        <w:t xml:space="preserve">Н.Г.,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докт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мед. наук, проф., </w:t>
      </w:r>
      <w:r w:rsidRPr="007D7F56">
        <w:rPr>
          <w:rStyle w:val="70pt"/>
          <w:rFonts w:ascii="Times New Roman" w:hAnsi="Times New Roman" w:cs="Times New Roman"/>
          <w:sz w:val="28"/>
          <w:szCs w:val="28"/>
        </w:rPr>
        <w:t>Паращук</w:t>
      </w:r>
      <w:r w:rsidRPr="007D7F56">
        <w:rPr>
          <w:rStyle w:val="70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9DE" w:rsidRPr="009219DE">
        <w:rPr>
          <w:rStyle w:val="70pt0"/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7D7F56">
        <w:rPr>
          <w:rStyle w:val="70pt1"/>
          <w:rFonts w:ascii="Times New Roman" w:hAnsi="Times New Roman" w:cs="Times New Roman"/>
          <w:sz w:val="28"/>
          <w:szCs w:val="28"/>
        </w:rPr>
        <w:t xml:space="preserve">.C.,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докт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мед. наук, проф., зав. кафедрой.</w:t>
      </w:r>
    </w:p>
    <w:p w:rsidR="007D7F56" w:rsidRPr="007D7F56" w:rsidRDefault="007D7F56" w:rsidP="007D7F56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Кафедра акушерства и гинекологии №2, Харьковский национальный медицинский университет, Клиника репродуктивной медицины имени акад. В.И. Грищенко.</w:t>
      </w:r>
    </w:p>
    <w:p w:rsidR="007D7F56" w:rsidRPr="009219DE" w:rsidRDefault="007D7F56" w:rsidP="007D7F56">
      <w:pPr>
        <w:pStyle w:val="80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56" w:rsidRPr="007D7F56" w:rsidRDefault="007D7F56" w:rsidP="007D7F56">
      <w:pPr>
        <w:pStyle w:val="80"/>
        <w:shd w:val="clear" w:color="auto" w:fill="auto"/>
        <w:spacing w:before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Анализ 141 цикла контролируемой стимуляции яичников у доноров ооцитов показал, что при исполь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зовании в качестве триггера финального дозревания ооцитов хорионического гонадотропина человека (группа 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) и а</w:t>
      </w:r>
      <w:r w:rsidR="009219DE">
        <w:rPr>
          <w:rFonts w:ascii="Times New Roman" w:hAnsi="Times New Roman" w:cs="Times New Roman"/>
          <w:color w:val="000000"/>
          <w:sz w:val="28"/>
          <w:szCs w:val="28"/>
        </w:rPr>
        <w:t>гонистов гонадотропин-</w:t>
      </w:r>
      <w:proofErr w:type="spellStart"/>
      <w:r w:rsidR="009219DE">
        <w:rPr>
          <w:rFonts w:ascii="Times New Roman" w:hAnsi="Times New Roman" w:cs="Times New Roman"/>
          <w:color w:val="000000"/>
          <w:sz w:val="28"/>
          <w:szCs w:val="28"/>
        </w:rPr>
        <w:t>рилизинг</w:t>
      </w:r>
      <w:proofErr w:type="spellEnd"/>
      <w:r w:rsidR="009219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гормона (группа 2) процент зрелых ооцитов не отличался (66,</w:t>
      </w:r>
      <w:r w:rsidR="009219D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±2,8 </w:t>
      </w:r>
      <w:r w:rsidRPr="007D7F56">
        <w:rPr>
          <w:rStyle w:val="855pt0pt"/>
          <w:rFonts w:ascii="Times New Roman" w:hAnsi="Times New Roman" w:cs="Times New Roman"/>
          <w:sz w:val="28"/>
          <w:szCs w:val="28"/>
        </w:rPr>
        <w:t>и</w:t>
      </w:r>
      <w:r w:rsidRPr="007D7F56">
        <w:rPr>
          <w:rStyle w:val="855pt0pt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69,7</w:t>
      </w:r>
      <w:r w:rsidR="009219DE" w:rsidRPr="007D7F56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3,1% соответственно)</w:t>
      </w:r>
      <w:r w:rsidR="009219D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Частота имплантации эмбрионов и наступления беременности в </w:t>
      </w:r>
      <w:r w:rsidR="009219D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-й и 2-й группах также достоверно не отличалась (частота имплантации 37,2 и 37,9%, частота клинической беременности 55,9 и 58,9% соответственно). Результаты свидетельствуют о том, что в циклах экстракорпорального оплодотворе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с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оводонацией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триггера </w:t>
      </w:r>
      <w:proofErr w:type="gramStart"/>
      <w:r w:rsidR="009219DE">
        <w:rPr>
          <w:rFonts w:ascii="Times New Roman" w:hAnsi="Times New Roman" w:cs="Times New Roman"/>
          <w:color w:val="000000"/>
          <w:sz w:val="28"/>
          <w:szCs w:val="28"/>
        </w:rPr>
        <w:t>α</w:t>
      </w:r>
      <w:r w:rsidR="009219D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proofErr w:type="gramEnd"/>
      <w:r w:rsidRPr="007D7F56">
        <w:rPr>
          <w:rStyle w:val="89pt0pt"/>
          <w:rFonts w:ascii="Times New Roman" w:hAnsi="Times New Roman" w:cs="Times New Roman"/>
          <w:b/>
          <w:bCs/>
          <w:sz w:val="28"/>
          <w:szCs w:val="28"/>
        </w:rPr>
        <w:t>ГнРГ</w:t>
      </w:r>
      <w:proofErr w:type="spellEnd"/>
      <w:r w:rsidRPr="007D7F56">
        <w:rPr>
          <w:rStyle w:val="89pt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не снижает долю зрелых ооцитов, вероятность насту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пления беременности и может быть рекомендована для использования на постоянной основе.</w:t>
      </w:r>
    </w:p>
    <w:p w:rsidR="007D7F56" w:rsidRPr="007D7F56" w:rsidRDefault="007D7F56" w:rsidP="007D7F56">
      <w:pPr>
        <w:pStyle w:val="70"/>
        <w:shd w:val="clear" w:color="auto" w:fill="auto"/>
        <w:spacing w:line="276" w:lineRule="auto"/>
        <w:ind w:left="4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We analyzed 141 cycles of controlled ovarian-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stimulation'in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oocyte donors. It was found that using a human chorionic gonad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otropin (group 1) or gonadotropin releasing hormone agonist (group 2) as a trigger of final oocyte maturation did not affect the percentage of mature oocytes (66,3 ± 2,8 % and 69,7 ± 3,1%, respectively). The implantation rates and pregnancy rates in </w:t>
      </w:r>
      <w:r w:rsidRPr="007D7F56">
        <w:rPr>
          <w:rStyle w:val="70pt0"/>
          <w:rFonts w:ascii="Times New Roman" w:hAnsi="Times New Roman" w:cs="Times New Roman"/>
          <w:i/>
          <w:iCs/>
          <w:sz w:val="28"/>
          <w:szCs w:val="28"/>
        </w:rPr>
        <w:t xml:space="preserve">groups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1 and 2 were also not significantly different (implantation rate 37.2% and 37.9%, clinical pregnancy rate 55.9% and 58.9% respectively). The results indicate that in the oocyte donation cycles using of gonadotropin releasing hormone agonist as a trigger of final oocyte maturation does not reduce the proportion of mature oocytes, the probability of pregnancy and may be recommended to use on a regular basis.</w:t>
      </w:r>
    </w:p>
    <w:p w:rsidR="0012314C" w:rsidRPr="009219DE" w:rsidRDefault="007D7F56" w:rsidP="009219DE">
      <w:pPr>
        <w:pStyle w:val="1"/>
        <w:shd w:val="clear" w:color="auto" w:fill="auto"/>
        <w:spacing w:line="276" w:lineRule="auto"/>
        <w:ind w:left="40" w:right="4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Одно из наиболее частых осложнений контролируемой стиму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ляции яичников (КСЯ) — синдром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гиперстимуляции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яичников (СГСЯ), частота которого достигает 3,6-7,5% [3]. Профи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лактика этого осложнения — одна из приоритетных задач</w:t>
      </w:r>
      <w:r w:rsidR="009219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оптимизации современных репродуктивных технологий. К сожалению, использование так на</w:t>
      </w:r>
      <w:r w:rsidR="009219DE">
        <w:rPr>
          <w:rFonts w:ascii="Times New Roman" w:hAnsi="Times New Roman" w:cs="Times New Roman"/>
          <w:color w:val="000000"/>
          <w:sz w:val="28"/>
          <w:szCs w:val="28"/>
        </w:rPr>
        <w:t>зываемых «мягких» протоколов КС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Я и применение протоколов с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антагонистами гонадотропин-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рилизинг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-гормона (ант-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) не смогли полностью исключить развитие СГСЯ. Ещё в начале 70-х годов прошлого века были проведены фундаментальные исследования по использованию агонистов гонадо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тропин-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рилизинг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-гормона (а-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) в качестве триггера овуляции [4]. Но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десенситизация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гипофиза в «длинных» протоколах с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исключала использование этого типа триггера. После появления в клинической практике ант-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90-х годов было обнаружено, что использование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триггера финального дозревания ооцитов позволяет добиться получения зрелых 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ооцитов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и миними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зирует риск СГСЯ [2]. Этот подход имел определённые ограни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чения: его можно было использовать только в протоколах с ант-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, и в «свежих» циклах выраженная недостаточность лютеиновой фазы приводила к критическому снижению частоты наступления беременности [1]. Подобная проблема отсутствует в случае донорства ооцитов, так как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рецептивностъ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эндометрия реципиента не зависит от типа триггера у донора.</w:t>
      </w:r>
    </w:p>
    <w:p w:rsidR="007D7F56" w:rsidRPr="009219DE" w:rsidRDefault="007D7F56" w:rsidP="009A2854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Целью настоящего исследования было сравнить степень зрелости 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получаемых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ооцитбв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, частоту имплантации и наступления клинической беременности после использо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вания в качестве триггера хорионического гонадотропина человека (ХГЧ) и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в-циклах с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оводонацией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F56" w:rsidRPr="009219DE" w:rsidRDefault="007D7F56" w:rsidP="009A2854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Мы проанализировали 141 цикл экстракорпорального оплодотворения (ЭКО) с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оводонацией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были разделены на 2 группы. В </w:t>
      </w:r>
      <w:r w:rsidR="009A2854" w:rsidRPr="009A28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-ю группу вошло 68 циклов, в которых в качестве триггера финального дозревания ооцитов использовались препараты ХГЧ. 2-ю группу составили 73 цикла, в котор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ых в качестве триггера использо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вались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 Во всех циклах КСЯ блок преждевременного пика ЛГ проводился препаратами ант-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F56" w:rsidRPr="007D7F56" w:rsidRDefault="007D7F56" w:rsidP="007D7F56">
      <w:pPr>
        <w:pStyle w:val="1"/>
        <w:shd w:val="clear" w:color="auto" w:fill="auto"/>
        <w:spacing w:line="276" w:lineRule="auto"/>
        <w:ind w:left="80" w:right="20" w:firstLine="28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Средний возраст в обеих группах достоверно не отличался и составил 2</w:t>
      </w:r>
      <w:r w:rsidR="009A2854" w:rsidRPr="009A28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,9±</w:t>
      </w:r>
      <w:r w:rsidR="009A2854" w:rsidRPr="009A285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,3 в первой группе и 27,5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0,5 во второй.</w:t>
      </w:r>
      <w:r w:rsidRPr="007D7F56">
        <w:rPr>
          <w:rFonts w:ascii="Times New Roman" w:hAnsi="Times New Roman" w:cs="Times New Roman"/>
          <w:sz w:val="28"/>
          <w:szCs w:val="28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При сравнении общего количества полученных при пункц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ии оо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цитов в </w:t>
      </w:r>
      <w:r w:rsidR="009A2854" w:rsidRPr="009A28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-й группе этот показатель был достоверно ниже, чем во 2-й группе, и составил 13,8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0,8 и 20,2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1,4 соответственно. Такое отличие можно объяснить тем, что триггер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в клинической практике мы чаще используем в случаях с высоким риском развития СГСЯ, следовательно, во 2-й группе общее количество растущих фолликулов было больше. Аналогичная картина наблюдалась в количестве полученных зрелых ооцитов — оно было достоверно выше во 2-й группе и составило 14,1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1,1 в сравнении с </w:t>
      </w:r>
      <w:r w:rsidR="009A2854" w:rsidRPr="009A28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-й группой, где этот показатель составил 8,7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0,5.</w:t>
      </w:r>
    </w:p>
    <w:p w:rsidR="007D7F56" w:rsidRPr="007D7F56" w:rsidRDefault="007D7F56" w:rsidP="007D7F56">
      <w:pPr>
        <w:pStyle w:val="1"/>
        <w:shd w:val="clear" w:color="auto" w:fill="auto"/>
        <w:spacing w:line="276" w:lineRule="auto"/>
        <w:ind w:left="80" w:right="20" w:firstLine="28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Что же касается доли зрелых ооцитов, то статистически значимых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отличий между группами не было выявлено (</w:t>
      </w:r>
      <w:r w:rsidR="009A2854" w:rsidRPr="009A28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-я группа — 66,3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2,8%, 2-я группа — 69,7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3,2%). Это говорит о том, что финальное дозревание происходит в равной доле ооцитов после использования в качестве триггера как ХГЧ, так и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F56" w:rsidRPr="007D7F56" w:rsidRDefault="007D7F56" w:rsidP="007D7F56">
      <w:pPr>
        <w:pStyle w:val="1"/>
        <w:shd w:val="clear" w:color="auto" w:fill="auto"/>
        <w:spacing w:line="276" w:lineRule="auto"/>
        <w:ind w:left="80" w:right="20" w:firstLine="28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оценить имплантационный потенциал полученных эмбрионов, мы проанализировали частоту ^имплантации и наступления клинической беременности у пациенток-реципиентов. Частота имплантации в исследуемых группах составила </w:t>
      </w:r>
      <w:r w:rsidRPr="007D7F56">
        <w:rPr>
          <w:rStyle w:val="0pt"/>
          <w:rFonts w:ascii="Times New Roman" w:hAnsi="Times New Roman" w:cs="Times New Roman"/>
          <w:sz w:val="28"/>
          <w:szCs w:val="28"/>
        </w:rPr>
        <w:t>37,2</w:t>
      </w:r>
      <w:r w:rsidRPr="007D7F56">
        <w:rPr>
          <w:rStyle w:val="Constantia55pt0pt"/>
          <w:rFonts w:ascii="Times New Roman" w:hAnsi="Times New Roman" w:cs="Times New Roman"/>
          <w:sz w:val="28"/>
          <w:szCs w:val="28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D7F56">
        <w:rPr>
          <w:rStyle w:val="0pt"/>
          <w:rFonts w:ascii="Times New Roman" w:hAnsi="Times New Roman" w:cs="Times New Roman"/>
          <w:sz w:val="28"/>
          <w:szCs w:val="28"/>
        </w:rPr>
        <w:t>37</w:t>
      </w:r>
      <w:r w:rsidRPr="007D7F56">
        <w:rPr>
          <w:rStyle w:val="Constantia55pt0pt"/>
          <w:rFonts w:ascii="Times New Roman" w:hAnsi="Times New Roman" w:cs="Times New Roman"/>
          <w:sz w:val="28"/>
          <w:szCs w:val="28"/>
        </w:rPr>
        <w:t>,</w:t>
      </w:r>
      <w:r w:rsidRPr="007D7F56">
        <w:rPr>
          <w:rStyle w:val="0pt"/>
          <w:rFonts w:ascii="Times New Roman" w:hAnsi="Times New Roman" w:cs="Times New Roman"/>
          <w:sz w:val="28"/>
          <w:szCs w:val="28"/>
        </w:rPr>
        <w:t>9</w:t>
      </w:r>
      <w:r w:rsidRPr="007D7F56">
        <w:rPr>
          <w:rStyle w:val="Constantia55pt0pt"/>
          <w:rFonts w:ascii="Times New Roman" w:hAnsi="Times New Roman" w:cs="Times New Roman"/>
          <w:sz w:val="28"/>
          <w:szCs w:val="28"/>
        </w:rPr>
        <w:t xml:space="preserve">%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соответственно. При оценке частоты клинической беременности учитывались беремен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ности, верифицированные при УЗИ на сроке 7-8 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акушерских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Достоверных отличий по данному показателю также не было выявлено (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-я группа — 55</w:t>
      </w:r>
      <w:r w:rsidR="009A285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9% 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285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A28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группа — 58,9%), что говорит в пользу использования триггера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у доноров ооцитов, так как такой подход не снижает долю зрелых ооцитов в</w:t>
      </w:r>
      <w:r w:rsidR="009A2854">
        <w:rPr>
          <w:rFonts w:ascii="Times New Roman" w:hAnsi="Times New Roman" w:cs="Times New Roman"/>
          <w:color w:val="000000"/>
          <w:sz w:val="28"/>
          <w:szCs w:val="28"/>
        </w:rPr>
        <w:t xml:space="preserve"> общем пуле и не снижает частот</w:t>
      </w:r>
      <w:r w:rsidR="009A2854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 эмбрионов и частоту наступления беременности у реципи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ентов при минимизации риска СГСЯ.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зарегистри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ровано ни одного случая СГСЯ при использовании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триггера финального созревания ооцитов, в то время как при использовании ХГЧ это осложнение наблюдалось в 3 случаях (4,4%).</w:t>
      </w:r>
    </w:p>
    <w:p w:rsidR="007D7F56" w:rsidRPr="007D7F56" w:rsidRDefault="007D7F56" w:rsidP="007D7F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Выводы</w:t>
      </w:r>
    </w:p>
    <w:p w:rsidR="007D7F56" w:rsidRPr="007D7F56" w:rsidRDefault="007D7F56" w:rsidP="007D7F56">
      <w:pPr>
        <w:pStyle w:val="1"/>
        <w:numPr>
          <w:ilvl w:val="0"/>
          <w:numId w:val="1"/>
        </w:numPr>
        <w:shd w:val="clear" w:color="auto" w:fill="auto"/>
        <w:tabs>
          <w:tab w:val="left" w:pos="485"/>
        </w:tabs>
        <w:spacing w:line="276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Использование в качестве триггера финального дозре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вания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получить зрелые ооциты в том же процентном соотношении.</w:t>
      </w:r>
    </w:p>
    <w:p w:rsidR="007D7F56" w:rsidRPr="007D7F56" w:rsidRDefault="007D7F56" w:rsidP="007D7F56">
      <w:pPr>
        <w:pStyle w:val="1"/>
        <w:numPr>
          <w:ilvl w:val="0"/>
          <w:numId w:val="1"/>
        </w:numPr>
        <w:shd w:val="clear" w:color="auto" w:fill="auto"/>
        <w:tabs>
          <w:tab w:val="left" w:pos="485"/>
        </w:tabs>
        <w:spacing w:line="276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В циклах ЭКО с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оводонацией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триггера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можно рассматривать как метод выбора, который позволяет минимизировать явления СГСЯ и не ухудшает прогноз на наступление беременности.</w:t>
      </w:r>
    </w:p>
    <w:p w:rsidR="007D7F56" w:rsidRPr="007D7F56" w:rsidRDefault="007D7F56" w:rsidP="007D7F56">
      <w:pPr>
        <w:pStyle w:val="1"/>
        <w:numPr>
          <w:ilvl w:val="0"/>
          <w:numId w:val="1"/>
        </w:numPr>
        <w:shd w:val="clear" w:color="auto" w:fill="auto"/>
        <w:tabs>
          <w:tab w:val="left" w:pos="485"/>
        </w:tabs>
        <w:spacing w:line="276" w:lineRule="auto"/>
        <w:ind w:left="20" w:right="20" w:firstLine="24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При условии в клинике хороших показателей результа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в циклах с использованием замороженных отогретых эмбрионов можно рекомендовать использование триггера а-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ГнРГ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в сочетании с подходом 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en-US"/>
        </w:rPr>
        <w:t>Freeze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en-US"/>
        </w:rPr>
        <w:t>all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для профи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лактики тяжёлого СГСЯ.</w:t>
      </w:r>
    </w:p>
    <w:p w:rsidR="007D7F56" w:rsidRPr="009219DE" w:rsidRDefault="007D7F56" w:rsidP="007D7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56" w:rsidRPr="007D7F56" w:rsidRDefault="007D7F56" w:rsidP="007D7F56">
      <w:pPr>
        <w:pStyle w:val="80"/>
        <w:shd w:val="clear" w:color="auto" w:fill="auto"/>
        <w:spacing w:before="0" w:line="276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7D7F56" w:rsidRPr="007D7F56" w:rsidRDefault="007D7F56" w:rsidP="007D7F56">
      <w:pPr>
        <w:pStyle w:val="90"/>
        <w:numPr>
          <w:ilvl w:val="0"/>
          <w:numId w:val="2"/>
        </w:numPr>
        <w:shd w:val="clear" w:color="auto" w:fill="auto"/>
        <w:tabs>
          <w:tab w:val="left" w:pos="242"/>
        </w:tabs>
        <w:spacing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Humaidan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54">
        <w:rPr>
          <w:rStyle w:val="975pt0pt"/>
          <w:rFonts w:ascii="Times New Roman" w:hAnsi="Times New Roman" w:cs="Times New Roman"/>
          <w:b w:val="0"/>
          <w:i/>
          <w:sz w:val="28"/>
          <w:szCs w:val="28"/>
        </w:rPr>
        <w:t>P.,</w:t>
      </w:r>
      <w:r w:rsidRPr="007D7F56">
        <w:rPr>
          <w:rStyle w:val="975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Bredkjaer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Bungum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et al.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GnRH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agonist (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buserelin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) or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HCGfor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ovulation induction in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GnRH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antagonist IVF/ ICSI cycles: a prospective randomized study // Hum.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Reprod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2005.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Vol. 20.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P. 1213-1220.</w:t>
      </w:r>
    </w:p>
    <w:p w:rsidR="007D7F56" w:rsidRPr="007D7F56" w:rsidRDefault="007D7F56" w:rsidP="007D7F56">
      <w:pPr>
        <w:pStyle w:val="90"/>
        <w:numPr>
          <w:ilvl w:val="0"/>
          <w:numId w:val="2"/>
        </w:numPr>
        <w:shd w:val="clear" w:color="auto" w:fill="auto"/>
        <w:tabs>
          <w:tab w:val="left" w:pos="242"/>
        </w:tabs>
        <w:spacing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Jtskovitz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J.,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Boldes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R.,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Levron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J et al Induction of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preovulatory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lutein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izing hormone surge and prevention of ovarian hyper stimulation syndrome by gonadotropin-releasing hormone agonist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//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Fertil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Steril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1991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.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Vol. 56.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№2.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P. 213-220.</w:t>
      </w:r>
    </w:p>
    <w:p w:rsidR="007D7F56" w:rsidRPr="007D7F56" w:rsidRDefault="007D7F56" w:rsidP="007D7F56">
      <w:pPr>
        <w:pStyle w:val="90"/>
        <w:numPr>
          <w:ilvl w:val="0"/>
          <w:numId w:val="2"/>
        </w:numPr>
        <w:shd w:val="clear" w:color="auto" w:fill="auto"/>
        <w:tabs>
          <w:tab w:val="left" w:pos="242"/>
        </w:tabs>
        <w:spacing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Kwan I., Bhattacharya S., Kang A.,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WoolnerA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. Monitoring of stimu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softHyphen/>
        <w:t>lated cycles in assisted reproduction (IVF and ICSI) // Cochrane Database of Systematic Reviews.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2014.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Issue 8. — Art. No.: CD005289. [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doi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>: i0.i002/i465l858.CD005289pub3.J</w:t>
      </w:r>
    </w:p>
    <w:p w:rsidR="007D7F56" w:rsidRPr="007D7F56" w:rsidRDefault="007D7F56" w:rsidP="007D7F56">
      <w:pPr>
        <w:pStyle w:val="90"/>
        <w:numPr>
          <w:ilvl w:val="0"/>
          <w:numId w:val="2"/>
        </w:numPr>
        <w:shd w:val="clear" w:color="auto" w:fill="auto"/>
        <w:tabs>
          <w:tab w:val="left" w:pos="242"/>
        </w:tabs>
        <w:spacing w:line="276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Nakano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RMizuno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7F56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Kotsuji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F. et al.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“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Triggering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"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of ovulation after infusion of synthetic luteinizing hormone releasing factor (LRF) // </w:t>
      </w:r>
      <w:proofErr w:type="spellStart"/>
      <w:r w:rsidRPr="007D7F56">
        <w:rPr>
          <w:rFonts w:ascii="Times New Roman" w:hAnsi="Times New Roman" w:cs="Times New Roman"/>
          <w:color w:val="000000"/>
          <w:sz w:val="28"/>
          <w:szCs w:val="28"/>
        </w:rPr>
        <w:t>Acta</w:t>
      </w:r>
      <w:proofErr w:type="spellEnd"/>
      <w:r w:rsidRPr="007D7F56">
        <w:rPr>
          <w:rFonts w:ascii="Times New Roman" w:hAnsi="Times New Roman" w:cs="Times New Roman"/>
          <w:color w:val="000000"/>
          <w:sz w:val="28"/>
          <w:szCs w:val="28"/>
        </w:rPr>
        <w:t xml:space="preserve"> Obstet. Gynecol. Scand.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1973</w:t>
      </w:r>
      <w:bookmarkStart w:id="0" w:name="_GoBack"/>
      <w:bookmarkEnd w:id="0"/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Vol. 52.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№3.</w:t>
      </w:r>
      <w:r w:rsidRPr="007D7F56">
        <w:rPr>
          <w:rStyle w:val="94pt0pt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7D7F56">
        <w:rPr>
          <w:rFonts w:ascii="Times New Roman" w:hAnsi="Times New Roman" w:cs="Times New Roman"/>
          <w:color w:val="000000"/>
          <w:sz w:val="28"/>
          <w:szCs w:val="28"/>
        </w:rPr>
        <w:t>P. 269-272.</w:t>
      </w:r>
    </w:p>
    <w:p w:rsidR="007D7F56" w:rsidRPr="007D7F56" w:rsidRDefault="007D7F56" w:rsidP="007D7F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D7F56" w:rsidRPr="007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215"/>
    <w:multiLevelType w:val="multilevel"/>
    <w:tmpl w:val="0B7ABC60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77AA3"/>
    <w:multiLevelType w:val="multilevel"/>
    <w:tmpl w:val="57B66404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6"/>
    <w:rsid w:val="0012314C"/>
    <w:rsid w:val="007D4C40"/>
    <w:rsid w:val="007D7F56"/>
    <w:rsid w:val="009219DE"/>
    <w:rsid w:val="009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F5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D7F56"/>
    <w:rPr>
      <w:rFonts w:ascii="Georgia" w:eastAsia="Georgia" w:hAnsi="Georgia" w:cs="Georgia"/>
      <w:spacing w:val="8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7F56"/>
    <w:rPr>
      <w:rFonts w:ascii="Georgia" w:eastAsia="Georgia" w:hAnsi="Georgia" w:cs="Georgia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D7F56"/>
    <w:rPr>
      <w:rFonts w:ascii="Georgia" w:eastAsia="Georgia" w:hAnsi="Georgia" w:cs="Georgia"/>
      <w:i/>
      <w:iCs/>
      <w:spacing w:val="1"/>
      <w:sz w:val="15"/>
      <w:szCs w:val="15"/>
      <w:shd w:val="clear" w:color="auto" w:fill="FFFFFF"/>
      <w:lang w:val="en-US"/>
    </w:rPr>
  </w:style>
  <w:style w:type="character" w:customStyle="1" w:styleId="70pt">
    <w:name w:val="Основной текст (7) + Полужирный;Интервал 0 pt"/>
    <w:basedOn w:val="7"/>
    <w:rsid w:val="007D7F56"/>
    <w:rPr>
      <w:rFonts w:ascii="Georgia" w:eastAsia="Georgia" w:hAnsi="Georgia" w:cs="Georgia"/>
      <w:b/>
      <w:bCs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0pt0">
    <w:name w:val="Основной текст (7) + Не курсив;Интервал 0 pt"/>
    <w:basedOn w:val="7"/>
    <w:rsid w:val="007D7F56"/>
    <w:rPr>
      <w:rFonts w:ascii="Georgia" w:eastAsia="Georgia" w:hAnsi="Georgia" w:cs="Georgi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70pt1">
    <w:name w:val="Основной текст (7) + Полужирный;Не курсив;Интервал 0 pt"/>
    <w:basedOn w:val="7"/>
    <w:rsid w:val="007D7F56"/>
    <w:rPr>
      <w:rFonts w:ascii="Georgia" w:eastAsia="Georgia" w:hAnsi="Georgia" w:cs="Georgia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D7F56"/>
    <w:rPr>
      <w:rFonts w:ascii="Georgia" w:eastAsia="Georgia" w:hAnsi="Georgia" w:cs="Georgia"/>
      <w:b/>
      <w:bCs/>
      <w:spacing w:val="8"/>
      <w:sz w:val="15"/>
      <w:szCs w:val="15"/>
      <w:shd w:val="clear" w:color="auto" w:fill="FFFFFF"/>
    </w:rPr>
  </w:style>
  <w:style w:type="character" w:customStyle="1" w:styleId="855pt0pt">
    <w:name w:val="Основной текст (8) + 5;5 pt;Интервал 0 pt"/>
    <w:basedOn w:val="8"/>
    <w:rsid w:val="007D7F56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55pt0pt0">
    <w:name w:val="Основной текст (8) + 5;5 pt;Не полужирный;Интервал 0 pt"/>
    <w:basedOn w:val="8"/>
    <w:rsid w:val="007D7F56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9pt0pt">
    <w:name w:val="Основной текст (8) + 9 pt;Не полужирный;Курсив;Интервал 0 pt"/>
    <w:basedOn w:val="8"/>
    <w:rsid w:val="007D7F56"/>
    <w:rPr>
      <w:rFonts w:ascii="Georgia" w:eastAsia="Georgia" w:hAnsi="Georgia" w:cs="Georgia"/>
      <w:b/>
      <w:bCs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D7F56"/>
    <w:pPr>
      <w:widowControl w:val="0"/>
      <w:shd w:val="clear" w:color="auto" w:fill="FFFFFF"/>
      <w:spacing w:after="0" w:line="204" w:lineRule="exact"/>
      <w:jc w:val="both"/>
    </w:pPr>
    <w:rPr>
      <w:rFonts w:ascii="Georgia" w:eastAsia="Georgia" w:hAnsi="Georgia" w:cs="Georgia"/>
      <w:spacing w:val="8"/>
      <w:sz w:val="15"/>
      <w:szCs w:val="15"/>
    </w:rPr>
  </w:style>
  <w:style w:type="paragraph" w:customStyle="1" w:styleId="60">
    <w:name w:val="Основной текст (6)"/>
    <w:basedOn w:val="a"/>
    <w:link w:val="6"/>
    <w:rsid w:val="007D7F56"/>
    <w:pPr>
      <w:widowControl w:val="0"/>
      <w:shd w:val="clear" w:color="auto" w:fill="FFFFFF"/>
      <w:spacing w:before="480" w:after="0" w:line="338" w:lineRule="exact"/>
      <w:jc w:val="center"/>
    </w:pPr>
    <w:rPr>
      <w:rFonts w:ascii="Georgia" w:eastAsia="Georgia" w:hAnsi="Georgia" w:cs="Georgia"/>
      <w:b/>
      <w:bCs/>
      <w:spacing w:val="4"/>
      <w:sz w:val="25"/>
      <w:szCs w:val="25"/>
    </w:rPr>
  </w:style>
  <w:style w:type="paragraph" w:customStyle="1" w:styleId="70">
    <w:name w:val="Основной текст (7)"/>
    <w:basedOn w:val="a"/>
    <w:link w:val="7"/>
    <w:rsid w:val="007D7F56"/>
    <w:pPr>
      <w:widowControl w:val="0"/>
      <w:shd w:val="clear" w:color="auto" w:fill="FFFFFF"/>
      <w:spacing w:after="0" w:line="204" w:lineRule="exact"/>
      <w:jc w:val="center"/>
    </w:pPr>
    <w:rPr>
      <w:rFonts w:ascii="Georgia" w:eastAsia="Georgia" w:hAnsi="Georgia" w:cs="Georgia"/>
      <w:i/>
      <w:iCs/>
      <w:spacing w:val="1"/>
      <w:sz w:val="15"/>
      <w:szCs w:val="15"/>
      <w:lang w:val="en-US"/>
    </w:rPr>
  </w:style>
  <w:style w:type="paragraph" w:customStyle="1" w:styleId="80">
    <w:name w:val="Основной текст (8)"/>
    <w:basedOn w:val="a"/>
    <w:link w:val="8"/>
    <w:rsid w:val="007D7F56"/>
    <w:pPr>
      <w:widowControl w:val="0"/>
      <w:shd w:val="clear" w:color="auto" w:fill="FFFFFF"/>
      <w:spacing w:before="180" w:after="0" w:line="204" w:lineRule="exact"/>
      <w:jc w:val="both"/>
    </w:pPr>
    <w:rPr>
      <w:rFonts w:ascii="Georgia" w:eastAsia="Georgia" w:hAnsi="Georgia" w:cs="Georgia"/>
      <w:b/>
      <w:bCs/>
      <w:spacing w:val="8"/>
      <w:sz w:val="15"/>
      <w:szCs w:val="15"/>
    </w:rPr>
  </w:style>
  <w:style w:type="character" w:customStyle="1" w:styleId="0pt">
    <w:name w:val="Основной текст + Интервал 0 pt"/>
    <w:basedOn w:val="a4"/>
    <w:rsid w:val="007D7F5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nstantia55pt0pt">
    <w:name w:val="Основной текст + Constantia;5;5 pt;Интервал 0 pt"/>
    <w:basedOn w:val="a4"/>
    <w:rsid w:val="007D7F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7F56"/>
    <w:rPr>
      <w:rFonts w:ascii="Georgia" w:eastAsia="Georgia" w:hAnsi="Georgia" w:cs="Georgia"/>
      <w:i/>
      <w:iCs/>
      <w:spacing w:val="4"/>
      <w:sz w:val="12"/>
      <w:szCs w:val="12"/>
      <w:shd w:val="clear" w:color="auto" w:fill="FFFFFF"/>
      <w:lang w:val="en-US"/>
    </w:rPr>
  </w:style>
  <w:style w:type="character" w:customStyle="1" w:styleId="975pt0pt">
    <w:name w:val="Основной текст (9) + 7;5 pt;Полужирный;Интервал 0 pt"/>
    <w:basedOn w:val="9"/>
    <w:rsid w:val="007D7F56"/>
    <w:rPr>
      <w:rFonts w:ascii="Georgia" w:eastAsia="Georgia" w:hAnsi="Georgia" w:cs="Georgia"/>
      <w:b/>
      <w:bCs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94pt0pt">
    <w:name w:val="Основной текст (9) + 4 pt;Не курсив;Интервал 0 pt"/>
    <w:basedOn w:val="9"/>
    <w:rsid w:val="007D7F56"/>
    <w:rPr>
      <w:rFonts w:ascii="Georgia" w:eastAsia="Georgia" w:hAnsi="Georgia" w:cs="Georgia"/>
      <w:i/>
      <w:iCs/>
      <w:color w:val="000000"/>
      <w:spacing w:val="-16"/>
      <w:w w:val="100"/>
      <w:position w:val="0"/>
      <w:sz w:val="8"/>
      <w:szCs w:val="8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7D7F56"/>
    <w:pPr>
      <w:widowControl w:val="0"/>
      <w:shd w:val="clear" w:color="auto" w:fill="FFFFFF"/>
      <w:spacing w:after="0" w:line="204" w:lineRule="exact"/>
      <w:ind w:hanging="240"/>
      <w:jc w:val="both"/>
    </w:pPr>
    <w:rPr>
      <w:rFonts w:ascii="Georgia" w:eastAsia="Georgia" w:hAnsi="Georgia" w:cs="Georgia"/>
      <w:i/>
      <w:iCs/>
      <w:spacing w:val="4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F5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D7F56"/>
    <w:rPr>
      <w:rFonts w:ascii="Georgia" w:eastAsia="Georgia" w:hAnsi="Georgia" w:cs="Georgia"/>
      <w:spacing w:val="8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7F56"/>
    <w:rPr>
      <w:rFonts w:ascii="Georgia" w:eastAsia="Georgia" w:hAnsi="Georgia" w:cs="Georgia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D7F56"/>
    <w:rPr>
      <w:rFonts w:ascii="Georgia" w:eastAsia="Georgia" w:hAnsi="Georgia" w:cs="Georgia"/>
      <w:i/>
      <w:iCs/>
      <w:spacing w:val="1"/>
      <w:sz w:val="15"/>
      <w:szCs w:val="15"/>
      <w:shd w:val="clear" w:color="auto" w:fill="FFFFFF"/>
      <w:lang w:val="en-US"/>
    </w:rPr>
  </w:style>
  <w:style w:type="character" w:customStyle="1" w:styleId="70pt">
    <w:name w:val="Основной текст (7) + Полужирный;Интервал 0 pt"/>
    <w:basedOn w:val="7"/>
    <w:rsid w:val="007D7F56"/>
    <w:rPr>
      <w:rFonts w:ascii="Georgia" w:eastAsia="Georgia" w:hAnsi="Georgia" w:cs="Georgia"/>
      <w:b/>
      <w:bCs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0pt0">
    <w:name w:val="Основной текст (7) + Не курсив;Интервал 0 pt"/>
    <w:basedOn w:val="7"/>
    <w:rsid w:val="007D7F56"/>
    <w:rPr>
      <w:rFonts w:ascii="Georgia" w:eastAsia="Georgia" w:hAnsi="Georgia" w:cs="Georgi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70pt1">
    <w:name w:val="Основной текст (7) + Полужирный;Не курсив;Интервал 0 pt"/>
    <w:basedOn w:val="7"/>
    <w:rsid w:val="007D7F56"/>
    <w:rPr>
      <w:rFonts w:ascii="Georgia" w:eastAsia="Georgia" w:hAnsi="Georgia" w:cs="Georgia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D7F56"/>
    <w:rPr>
      <w:rFonts w:ascii="Georgia" w:eastAsia="Georgia" w:hAnsi="Georgia" w:cs="Georgia"/>
      <w:b/>
      <w:bCs/>
      <w:spacing w:val="8"/>
      <w:sz w:val="15"/>
      <w:szCs w:val="15"/>
      <w:shd w:val="clear" w:color="auto" w:fill="FFFFFF"/>
    </w:rPr>
  </w:style>
  <w:style w:type="character" w:customStyle="1" w:styleId="855pt0pt">
    <w:name w:val="Основной текст (8) + 5;5 pt;Интервал 0 pt"/>
    <w:basedOn w:val="8"/>
    <w:rsid w:val="007D7F56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55pt0pt0">
    <w:name w:val="Основной текст (8) + 5;5 pt;Не полужирный;Интервал 0 pt"/>
    <w:basedOn w:val="8"/>
    <w:rsid w:val="007D7F56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89pt0pt">
    <w:name w:val="Основной текст (8) + 9 pt;Не полужирный;Курсив;Интервал 0 pt"/>
    <w:basedOn w:val="8"/>
    <w:rsid w:val="007D7F56"/>
    <w:rPr>
      <w:rFonts w:ascii="Georgia" w:eastAsia="Georgia" w:hAnsi="Georgia" w:cs="Georgia"/>
      <w:b/>
      <w:bCs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D7F56"/>
    <w:pPr>
      <w:widowControl w:val="0"/>
      <w:shd w:val="clear" w:color="auto" w:fill="FFFFFF"/>
      <w:spacing w:after="0" w:line="204" w:lineRule="exact"/>
      <w:jc w:val="both"/>
    </w:pPr>
    <w:rPr>
      <w:rFonts w:ascii="Georgia" w:eastAsia="Georgia" w:hAnsi="Georgia" w:cs="Georgia"/>
      <w:spacing w:val="8"/>
      <w:sz w:val="15"/>
      <w:szCs w:val="15"/>
    </w:rPr>
  </w:style>
  <w:style w:type="paragraph" w:customStyle="1" w:styleId="60">
    <w:name w:val="Основной текст (6)"/>
    <w:basedOn w:val="a"/>
    <w:link w:val="6"/>
    <w:rsid w:val="007D7F56"/>
    <w:pPr>
      <w:widowControl w:val="0"/>
      <w:shd w:val="clear" w:color="auto" w:fill="FFFFFF"/>
      <w:spacing w:before="480" w:after="0" w:line="338" w:lineRule="exact"/>
      <w:jc w:val="center"/>
    </w:pPr>
    <w:rPr>
      <w:rFonts w:ascii="Georgia" w:eastAsia="Georgia" w:hAnsi="Georgia" w:cs="Georgia"/>
      <w:b/>
      <w:bCs/>
      <w:spacing w:val="4"/>
      <w:sz w:val="25"/>
      <w:szCs w:val="25"/>
    </w:rPr>
  </w:style>
  <w:style w:type="paragraph" w:customStyle="1" w:styleId="70">
    <w:name w:val="Основной текст (7)"/>
    <w:basedOn w:val="a"/>
    <w:link w:val="7"/>
    <w:rsid w:val="007D7F56"/>
    <w:pPr>
      <w:widowControl w:val="0"/>
      <w:shd w:val="clear" w:color="auto" w:fill="FFFFFF"/>
      <w:spacing w:after="0" w:line="204" w:lineRule="exact"/>
      <w:jc w:val="center"/>
    </w:pPr>
    <w:rPr>
      <w:rFonts w:ascii="Georgia" w:eastAsia="Georgia" w:hAnsi="Georgia" w:cs="Georgia"/>
      <w:i/>
      <w:iCs/>
      <w:spacing w:val="1"/>
      <w:sz w:val="15"/>
      <w:szCs w:val="15"/>
      <w:lang w:val="en-US"/>
    </w:rPr>
  </w:style>
  <w:style w:type="paragraph" w:customStyle="1" w:styleId="80">
    <w:name w:val="Основной текст (8)"/>
    <w:basedOn w:val="a"/>
    <w:link w:val="8"/>
    <w:rsid w:val="007D7F56"/>
    <w:pPr>
      <w:widowControl w:val="0"/>
      <w:shd w:val="clear" w:color="auto" w:fill="FFFFFF"/>
      <w:spacing w:before="180" w:after="0" w:line="204" w:lineRule="exact"/>
      <w:jc w:val="both"/>
    </w:pPr>
    <w:rPr>
      <w:rFonts w:ascii="Georgia" w:eastAsia="Georgia" w:hAnsi="Georgia" w:cs="Georgia"/>
      <w:b/>
      <w:bCs/>
      <w:spacing w:val="8"/>
      <w:sz w:val="15"/>
      <w:szCs w:val="15"/>
    </w:rPr>
  </w:style>
  <w:style w:type="character" w:customStyle="1" w:styleId="0pt">
    <w:name w:val="Основной текст + Интервал 0 pt"/>
    <w:basedOn w:val="a4"/>
    <w:rsid w:val="007D7F5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nstantia55pt0pt">
    <w:name w:val="Основной текст + Constantia;5;5 pt;Интервал 0 pt"/>
    <w:basedOn w:val="a4"/>
    <w:rsid w:val="007D7F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7D7F56"/>
    <w:rPr>
      <w:rFonts w:ascii="Georgia" w:eastAsia="Georgia" w:hAnsi="Georgia" w:cs="Georgia"/>
      <w:i/>
      <w:iCs/>
      <w:spacing w:val="4"/>
      <w:sz w:val="12"/>
      <w:szCs w:val="12"/>
      <w:shd w:val="clear" w:color="auto" w:fill="FFFFFF"/>
      <w:lang w:val="en-US"/>
    </w:rPr>
  </w:style>
  <w:style w:type="character" w:customStyle="1" w:styleId="975pt0pt">
    <w:name w:val="Основной текст (9) + 7;5 pt;Полужирный;Интервал 0 pt"/>
    <w:basedOn w:val="9"/>
    <w:rsid w:val="007D7F56"/>
    <w:rPr>
      <w:rFonts w:ascii="Georgia" w:eastAsia="Georgia" w:hAnsi="Georgia" w:cs="Georgia"/>
      <w:b/>
      <w:bCs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94pt0pt">
    <w:name w:val="Основной текст (9) + 4 pt;Не курсив;Интервал 0 pt"/>
    <w:basedOn w:val="9"/>
    <w:rsid w:val="007D7F56"/>
    <w:rPr>
      <w:rFonts w:ascii="Georgia" w:eastAsia="Georgia" w:hAnsi="Georgia" w:cs="Georgia"/>
      <w:i/>
      <w:iCs/>
      <w:color w:val="000000"/>
      <w:spacing w:val="-16"/>
      <w:w w:val="100"/>
      <w:position w:val="0"/>
      <w:sz w:val="8"/>
      <w:szCs w:val="8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7D7F56"/>
    <w:pPr>
      <w:widowControl w:val="0"/>
      <w:shd w:val="clear" w:color="auto" w:fill="FFFFFF"/>
      <w:spacing w:after="0" w:line="204" w:lineRule="exact"/>
      <w:ind w:hanging="240"/>
      <w:jc w:val="both"/>
    </w:pPr>
    <w:rPr>
      <w:rFonts w:ascii="Georgia" w:eastAsia="Georgia" w:hAnsi="Georgia" w:cs="Georgia"/>
      <w:i/>
      <w:iCs/>
      <w:spacing w:val="4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1113</Words>
  <Characters>6350</Characters>
  <Application>Microsoft Office Word</Application>
  <DocSecurity>0</DocSecurity>
  <Lines>52</Lines>
  <Paragraphs>14</Paragraphs>
  <ScaleCrop>false</ScaleCrop>
  <Company>Krokoz™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2015-11-03T11:18:00Z</dcterms:created>
  <dcterms:modified xsi:type="dcterms:W3CDTF">2015-11-04T10:13:00Z</dcterms:modified>
</cp:coreProperties>
</file>