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8" w:rsidRPr="00D307AD" w:rsidRDefault="004273B8" w:rsidP="004273B8">
      <w:pPr>
        <w:numPr>
          <w:ilvl w:val="0"/>
          <w:numId w:val="1"/>
        </w:numPr>
        <w:tabs>
          <w:tab w:val="num" w:pos="0"/>
        </w:tabs>
        <w:spacing w:line="360" w:lineRule="auto"/>
        <w:ind w:left="0" w:hanging="357"/>
        <w:jc w:val="both"/>
        <w:rPr>
          <w:b/>
          <w:sz w:val="28"/>
          <w:szCs w:val="28"/>
        </w:rPr>
      </w:pPr>
      <w:proofErr w:type="spellStart"/>
      <w:r w:rsidRPr="00D307AD">
        <w:rPr>
          <w:b/>
          <w:sz w:val="28"/>
          <w:szCs w:val="28"/>
        </w:rPr>
        <w:t>Кучерявченко</w:t>
      </w:r>
      <w:proofErr w:type="spellEnd"/>
      <w:r w:rsidRPr="00D307AD">
        <w:rPr>
          <w:b/>
          <w:sz w:val="28"/>
          <w:szCs w:val="28"/>
        </w:rPr>
        <w:t xml:space="preserve"> М.О. Вплив </w:t>
      </w:r>
      <w:proofErr w:type="spellStart"/>
      <w:r w:rsidRPr="00D307AD">
        <w:rPr>
          <w:b/>
          <w:sz w:val="28"/>
          <w:szCs w:val="28"/>
        </w:rPr>
        <w:t>Лапроксиду</w:t>
      </w:r>
      <w:proofErr w:type="spellEnd"/>
      <w:r w:rsidRPr="00D307AD">
        <w:rPr>
          <w:b/>
          <w:sz w:val="28"/>
          <w:szCs w:val="28"/>
        </w:rPr>
        <w:t xml:space="preserve"> Л-303 на стан </w:t>
      </w:r>
      <w:proofErr w:type="spellStart"/>
      <w:r w:rsidRPr="00D307AD">
        <w:rPr>
          <w:b/>
          <w:sz w:val="28"/>
          <w:szCs w:val="28"/>
        </w:rPr>
        <w:t>нейромедіаторів</w:t>
      </w:r>
      <w:proofErr w:type="spellEnd"/>
      <w:r w:rsidRPr="00D307AD">
        <w:rPr>
          <w:b/>
          <w:sz w:val="28"/>
          <w:szCs w:val="28"/>
        </w:rPr>
        <w:t xml:space="preserve">, рецепторний апарат і систему </w:t>
      </w:r>
      <w:proofErr w:type="spellStart"/>
      <w:r w:rsidRPr="00D307AD">
        <w:rPr>
          <w:b/>
          <w:sz w:val="28"/>
          <w:szCs w:val="28"/>
        </w:rPr>
        <w:t>медіаторної</w:t>
      </w:r>
      <w:proofErr w:type="spellEnd"/>
      <w:r w:rsidRPr="00D307AD">
        <w:rPr>
          <w:b/>
          <w:sz w:val="28"/>
          <w:szCs w:val="28"/>
        </w:rPr>
        <w:t xml:space="preserve"> регуляції внутріклітинного метаболізму / М.О. </w:t>
      </w:r>
      <w:proofErr w:type="spellStart"/>
      <w:r w:rsidRPr="00D307AD">
        <w:rPr>
          <w:b/>
          <w:sz w:val="28"/>
          <w:szCs w:val="28"/>
        </w:rPr>
        <w:t>Кучерявченко</w:t>
      </w:r>
      <w:proofErr w:type="spellEnd"/>
      <w:r w:rsidRPr="00D307AD">
        <w:rPr>
          <w:b/>
          <w:sz w:val="28"/>
          <w:szCs w:val="28"/>
        </w:rPr>
        <w:t xml:space="preserve"> // Український науково-медичний молодіжний журнал. – 2015. - № 1 (86). – С. 47-51.</w:t>
      </w:r>
    </w:p>
    <w:p w:rsidR="004273B8" w:rsidRPr="003F3F73" w:rsidRDefault="004273B8" w:rsidP="004273B8">
      <w:pPr>
        <w:spacing w:line="360" w:lineRule="auto"/>
        <w:rPr>
          <w:bCs/>
        </w:rPr>
      </w:pPr>
      <w:r w:rsidRPr="003F3F73">
        <w:rPr>
          <w:bCs/>
        </w:rPr>
        <w:t>УДК:</w:t>
      </w:r>
      <w:r w:rsidRPr="009F6D94">
        <w:rPr>
          <w:bCs/>
        </w:rPr>
        <w:t xml:space="preserve"> </w:t>
      </w:r>
      <w:r w:rsidRPr="003F3F73">
        <w:rPr>
          <w:bCs/>
        </w:rPr>
        <w:t>616-088.9-099-092.9:543.395:577.175.82</w:t>
      </w:r>
    </w:p>
    <w:p w:rsidR="004273B8" w:rsidRPr="003F3F73" w:rsidRDefault="004273B8" w:rsidP="004273B8">
      <w:pPr>
        <w:spacing w:line="360" w:lineRule="auto"/>
        <w:rPr>
          <w:b/>
          <w:bCs/>
          <w:caps/>
        </w:rPr>
      </w:pPr>
      <w:r w:rsidRPr="003F3F73">
        <w:rPr>
          <w:b/>
          <w:bCs/>
        </w:rPr>
        <w:t>В</w:t>
      </w:r>
      <w:r w:rsidRPr="003F3F73">
        <w:rPr>
          <w:b/>
          <w:bCs/>
          <w:caps/>
        </w:rPr>
        <w:t>плив лапроксиду л-303 на стан нейромедіаторів, рецепторний апарат і систему медіаторної регуляції внутріклітинного метаболізму.</w:t>
      </w:r>
    </w:p>
    <w:p w:rsidR="004273B8" w:rsidRDefault="004273B8" w:rsidP="004273B8">
      <w:pPr>
        <w:spacing w:line="360" w:lineRule="auto"/>
      </w:pPr>
      <w:proofErr w:type="spellStart"/>
      <w:r w:rsidRPr="003F3F73">
        <w:t>Кучерявченко</w:t>
      </w:r>
      <w:proofErr w:type="spellEnd"/>
      <w:r>
        <w:t xml:space="preserve"> </w:t>
      </w:r>
      <w:r w:rsidRPr="003F3F73">
        <w:t>М.О.</w:t>
      </w:r>
    </w:p>
    <w:p w:rsidR="004273B8" w:rsidRDefault="004273B8" w:rsidP="004273B8">
      <w:pPr>
        <w:spacing w:line="360" w:lineRule="auto"/>
      </w:pPr>
      <w:r>
        <w:t>Харківський національний медичний університет</w:t>
      </w:r>
    </w:p>
    <w:p w:rsidR="004273B8" w:rsidRPr="003F3F73" w:rsidRDefault="004273B8" w:rsidP="004273B8">
      <w:pPr>
        <w:spacing w:line="360" w:lineRule="auto"/>
      </w:pPr>
      <w:r>
        <w:t xml:space="preserve">Ключові слова: </w:t>
      </w:r>
      <w:proofErr w:type="spellStart"/>
      <w:r>
        <w:t>ксенобіотики</w:t>
      </w:r>
      <w:proofErr w:type="spellEnd"/>
      <w:r>
        <w:t xml:space="preserve">, </w:t>
      </w:r>
      <w:proofErr w:type="spellStart"/>
      <w:r>
        <w:t>лапроксиди</w:t>
      </w:r>
      <w:proofErr w:type="spellEnd"/>
      <w:r>
        <w:t xml:space="preserve">, </w:t>
      </w:r>
      <w:proofErr w:type="spellStart"/>
      <w:r>
        <w:t>нейромедіатори</w:t>
      </w:r>
      <w:proofErr w:type="spellEnd"/>
      <w:r>
        <w:t>,</w:t>
      </w:r>
      <w:r w:rsidRPr="003F3F73">
        <w:t xml:space="preserve"> </w:t>
      </w:r>
      <w:r>
        <w:t xml:space="preserve">біогенні аміни, гомеостаз. </w:t>
      </w:r>
    </w:p>
    <w:p w:rsidR="004273B8" w:rsidRPr="003F3F73" w:rsidRDefault="004273B8" w:rsidP="004273B8">
      <w:pPr>
        <w:spacing w:line="360" w:lineRule="auto"/>
        <w:jc w:val="both"/>
      </w:pP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Нормальна життєдіяльність організму характеризується ланцюгом адаптаційних реакцій, що спрямовані на збереження сталості внутрішнього середовища. У процесі еволюції сформувались і закріпились лише специфічні відповідні реакції на кожен із </w:t>
      </w:r>
      <w:proofErr w:type="spellStart"/>
      <w:r w:rsidRPr="003F3F73">
        <w:t>безчисельної</w:t>
      </w:r>
      <w:proofErr w:type="spellEnd"/>
      <w:r w:rsidRPr="003F3F73">
        <w:t xml:space="preserve"> множини </w:t>
      </w:r>
      <w:proofErr w:type="spellStart"/>
      <w:r w:rsidRPr="003F3F73">
        <w:t>подразнювачів</w:t>
      </w:r>
      <w:proofErr w:type="spellEnd"/>
      <w:r w:rsidRPr="003F3F73">
        <w:t xml:space="preserve">  фізіологічного або патологічного характеру. Скоріше можна думати про еволюційне закріплення відносно невеликої кількості елементарних стереотипних реакцій спрямованих на відновлення порушеного гомеостазу. В основі формування багатьох патологічних станів і хвороб лежить порушення метаболічних процесів, як результат зриву адаптаційно-пристосувальних реакцій спрямованих на збереження гомеостазу. При цьому, велика роль у підтримці сталості внутрішнього середовища організму належить </w:t>
      </w:r>
      <w:proofErr w:type="spellStart"/>
      <w:r w:rsidRPr="003F3F73">
        <w:t>гіпоталамо-гіпофізарно-наднирковій</w:t>
      </w:r>
      <w:proofErr w:type="spellEnd"/>
      <w:r w:rsidRPr="003F3F73">
        <w:t xml:space="preserve">  системі і, поєднаній з нею, </w:t>
      </w:r>
      <w:proofErr w:type="spellStart"/>
      <w:r w:rsidRPr="003F3F73">
        <w:t>симпато-адреналовій</w:t>
      </w:r>
      <w:proofErr w:type="spellEnd"/>
      <w:r w:rsidRPr="003F3F73">
        <w:t xml:space="preserve"> системі, які відіграють провідну роль у забезпеченні захисно-пристосувальних реакцій в умовах впливу несприятливих факторів. Відомо, що реалізація нейрон-гуморальних стимулів здійснюється через рецепторний ланцюг і вторинні </w:t>
      </w:r>
      <w:proofErr w:type="spellStart"/>
      <w:r w:rsidRPr="003F3F73">
        <w:t>медіаторні</w:t>
      </w:r>
      <w:proofErr w:type="spellEnd"/>
      <w:r w:rsidRPr="003F3F73">
        <w:t xml:space="preserve"> системи: </w:t>
      </w:r>
      <w:proofErr w:type="spellStart"/>
      <w:r w:rsidRPr="003F3F73">
        <w:t>аденілатциклаз</w:t>
      </w:r>
      <w:r>
        <w:t>а</w:t>
      </w:r>
      <w:proofErr w:type="spellEnd"/>
      <w:r>
        <w:t xml:space="preserve"> (АЦ) → циклічний-3',5'-аденози</w:t>
      </w:r>
      <w:r w:rsidRPr="003F3F73">
        <w:t>нмонофосфат (</w:t>
      </w:r>
      <w:proofErr w:type="spellStart"/>
      <w:r w:rsidRPr="003F3F73">
        <w:t>цАМФ</w:t>
      </w:r>
      <w:proofErr w:type="spellEnd"/>
      <w:r w:rsidRPr="003F3F73">
        <w:t xml:space="preserve">) → </w:t>
      </w:r>
      <w:proofErr w:type="spellStart"/>
      <w:r w:rsidRPr="003F3F73">
        <w:t>цАМФ-залежна</w:t>
      </w:r>
      <w:proofErr w:type="spellEnd"/>
      <w:r w:rsidRPr="003F3F73">
        <w:t xml:space="preserve"> </w:t>
      </w:r>
      <w:proofErr w:type="spellStart"/>
      <w:r w:rsidRPr="003F3F73">
        <w:t>протеїнкіназа</w:t>
      </w:r>
      <w:proofErr w:type="spellEnd"/>
      <w:r w:rsidRPr="003F3F73">
        <w:t xml:space="preserve"> (ПК) </w:t>
      </w:r>
      <w:r>
        <w:t xml:space="preserve">→ синтез та </w:t>
      </w:r>
      <w:proofErr w:type="spellStart"/>
      <w:r>
        <w:t>фосфорилювання</w:t>
      </w:r>
      <w:proofErr w:type="spellEnd"/>
      <w:r>
        <w:t xml:space="preserve"> білків</w:t>
      </w:r>
      <w:r w:rsidRPr="003F3F73">
        <w:t xml:space="preserve">, а також </w:t>
      </w:r>
      <w:proofErr w:type="spellStart"/>
      <w:r w:rsidRPr="003F3F73">
        <w:t>гуанілатциклаз</w:t>
      </w:r>
      <w:r>
        <w:t>а</w:t>
      </w:r>
      <w:proofErr w:type="spellEnd"/>
      <w:r>
        <w:t xml:space="preserve"> (ГЦ) → циклічний-3',5'-гуанози</w:t>
      </w:r>
      <w:r w:rsidRPr="003F3F73">
        <w:t>нмонофосфат (</w:t>
      </w:r>
      <w:proofErr w:type="spellStart"/>
      <w:r w:rsidRPr="003F3F73">
        <w:t>цГМФ</w:t>
      </w:r>
      <w:proofErr w:type="spellEnd"/>
      <w:r w:rsidRPr="003F3F73">
        <w:t xml:space="preserve">) → </w:t>
      </w:r>
      <w:proofErr w:type="spellStart"/>
      <w:r w:rsidRPr="003F3F73">
        <w:t>цГМФ-залежна</w:t>
      </w:r>
      <w:proofErr w:type="spellEnd"/>
      <w:r w:rsidRPr="003F3F73">
        <w:t xml:space="preserve"> </w:t>
      </w:r>
      <w:proofErr w:type="spellStart"/>
      <w:r w:rsidRPr="003F3F73">
        <w:t>протеїнкіназа</w:t>
      </w:r>
      <w:proofErr w:type="spellEnd"/>
      <w:r>
        <w:t xml:space="preserve"> → </w:t>
      </w:r>
      <w:proofErr w:type="spellStart"/>
      <w:r>
        <w:t>фосфорилювання</w:t>
      </w:r>
      <w:proofErr w:type="spellEnd"/>
      <w:r>
        <w:t xml:space="preserve"> і синтез білків</w:t>
      </w:r>
      <w:r w:rsidRPr="003F3F73">
        <w:t xml:space="preserve">, які змінюють внутрішньоклітинний метаболізм і приймають участь у формуванні та забезпеченні гомеостатичної функції організму [1, 2, 3]. 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rPr>
          <w:color w:val="FF0000"/>
        </w:rPr>
        <w:tab/>
      </w:r>
      <w:r w:rsidRPr="003F3F73">
        <w:t xml:space="preserve">Зростаючі об’єми виробництва хімічної продукції, нових груп і класів </w:t>
      </w:r>
      <w:proofErr w:type="spellStart"/>
      <w:r w:rsidRPr="003F3F73">
        <w:t>ксенобіотиків</w:t>
      </w:r>
      <w:proofErr w:type="spellEnd"/>
      <w:r w:rsidRPr="003F3F73">
        <w:t xml:space="preserve"> створюють реальну загрозу здоров’ю населення. У зв’язку з цим, актуальним є вивчення патофізіологічних механізмів формування структурно-</w:t>
      </w:r>
      <w:r w:rsidRPr="003F3F73">
        <w:lastRenderedPageBreak/>
        <w:t xml:space="preserve">метаболічних порушень в організмі, що виникають внаслідок тривалого </w:t>
      </w:r>
      <w:proofErr w:type="spellStart"/>
      <w:r w:rsidRPr="003F3F73">
        <w:t>субтоксичного</w:t>
      </w:r>
      <w:proofErr w:type="spellEnd"/>
      <w:r w:rsidRPr="003F3F73">
        <w:t xml:space="preserve"> впливу хімічних сполук та патогенетичне обґрунтування принципів ранньої діагностики і корекції порушення гомеостатичної функції.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  <w:t xml:space="preserve">Враховуючи вищенаведене, метою роботи було дослідження впливу </w:t>
      </w:r>
      <w:proofErr w:type="spellStart"/>
      <w:r w:rsidRPr="003F3F73">
        <w:t>лапроксида</w:t>
      </w:r>
      <w:proofErr w:type="spellEnd"/>
      <w:r w:rsidRPr="003F3F73">
        <w:t xml:space="preserve"> Л-303 на реалізацію </w:t>
      </w:r>
      <w:proofErr w:type="spellStart"/>
      <w:r w:rsidRPr="003F3F73">
        <w:t>нейромедіаторних</w:t>
      </w:r>
      <w:proofErr w:type="spellEnd"/>
      <w:r w:rsidRPr="003F3F73">
        <w:t xml:space="preserve"> ефектів через </w:t>
      </w:r>
      <w:proofErr w:type="spellStart"/>
      <w:r w:rsidRPr="003F3F73">
        <w:t>циклазний</w:t>
      </w:r>
      <w:proofErr w:type="spellEnd"/>
      <w:r w:rsidRPr="003F3F73">
        <w:t xml:space="preserve"> каскад і систему ,,вторинних </w:t>
      </w:r>
      <w:proofErr w:type="spellStart"/>
      <w:r w:rsidRPr="003F3F73">
        <w:t>месенджерів</w:t>
      </w:r>
      <w:proofErr w:type="spellEnd"/>
      <w:r w:rsidRPr="003F3F73">
        <w:t xml:space="preserve">” в умовах тривалого </w:t>
      </w:r>
      <w:proofErr w:type="spellStart"/>
      <w:r w:rsidRPr="003F3F73">
        <w:t>субтоксичного</w:t>
      </w:r>
      <w:proofErr w:type="spellEnd"/>
      <w:r w:rsidRPr="003F3F73">
        <w:t xml:space="preserve"> надходження до організму даного </w:t>
      </w:r>
      <w:proofErr w:type="spellStart"/>
      <w:r w:rsidRPr="003F3F73">
        <w:t>ксенобіотика</w:t>
      </w:r>
      <w:proofErr w:type="spellEnd"/>
      <w:r w:rsidRPr="003F3F73">
        <w:t>.</w:t>
      </w:r>
    </w:p>
    <w:p w:rsidR="004273B8" w:rsidRPr="003F3F73" w:rsidRDefault="004273B8" w:rsidP="004273B8">
      <w:pPr>
        <w:spacing w:line="360" w:lineRule="auto"/>
        <w:jc w:val="both"/>
        <w:rPr>
          <w:b/>
          <w:bCs/>
        </w:rPr>
      </w:pPr>
      <w:r w:rsidRPr="003F3F73">
        <w:tab/>
      </w:r>
      <w:r w:rsidRPr="003F3F73">
        <w:rPr>
          <w:b/>
          <w:bCs/>
        </w:rPr>
        <w:t xml:space="preserve">Матеріали та методи дослідження. 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rPr>
          <w:b/>
          <w:bCs/>
        </w:rPr>
        <w:tab/>
      </w:r>
      <w:r w:rsidRPr="003F3F73">
        <w:t xml:space="preserve">Програма дослідження передбачала вивчення впливу нового </w:t>
      </w:r>
      <w:proofErr w:type="spellStart"/>
      <w:r w:rsidRPr="003F3F73">
        <w:t>ксенобіотика</w:t>
      </w:r>
      <w:proofErr w:type="spellEnd"/>
      <w:r w:rsidRPr="003F3F73">
        <w:t xml:space="preserve"> – </w:t>
      </w:r>
      <w:proofErr w:type="spellStart"/>
      <w:r w:rsidRPr="003F3F73">
        <w:t>Лапроксида</w:t>
      </w:r>
      <w:proofErr w:type="spellEnd"/>
      <w:r w:rsidRPr="003F3F73">
        <w:t xml:space="preserve"> з молекулярною масою 303 (Л-303), що має хімічну назву </w:t>
      </w:r>
      <w:proofErr w:type="spellStart"/>
      <w:r w:rsidRPr="003F3F73">
        <w:t>тригліцидиловий</w:t>
      </w:r>
      <w:proofErr w:type="spellEnd"/>
      <w:r w:rsidRPr="003F3F73">
        <w:t xml:space="preserve"> ефір </w:t>
      </w:r>
      <w:proofErr w:type="spellStart"/>
      <w:r w:rsidRPr="003F3F73">
        <w:t>поліоксипропілентріола</w:t>
      </w:r>
      <w:proofErr w:type="spellEnd"/>
      <w:r w:rsidRPr="003F3F73">
        <w:t xml:space="preserve"> на біогенні </w:t>
      </w:r>
      <w:proofErr w:type="spellStart"/>
      <w:r w:rsidRPr="003F3F73">
        <w:t>моноаміни</w:t>
      </w:r>
      <w:proofErr w:type="spellEnd"/>
      <w:r w:rsidRPr="003F3F73">
        <w:t xml:space="preserve"> та їх попередники, систему ГАМК / </w:t>
      </w:r>
      <w:proofErr w:type="spellStart"/>
      <w:r w:rsidRPr="003F3F73">
        <w:t>глутамат</w:t>
      </w:r>
      <w:proofErr w:type="spellEnd"/>
      <w:r w:rsidRPr="003F3F73">
        <w:t xml:space="preserve">, параметри рецепторного зв’язування і внутрішньоклітинний </w:t>
      </w:r>
      <w:proofErr w:type="spellStart"/>
      <w:r w:rsidRPr="003F3F73">
        <w:t>медіаторний</w:t>
      </w:r>
      <w:proofErr w:type="spellEnd"/>
      <w:r w:rsidRPr="003F3F73">
        <w:t xml:space="preserve"> </w:t>
      </w:r>
      <w:proofErr w:type="spellStart"/>
      <w:r w:rsidRPr="003F3F73">
        <w:t>циклазний</w:t>
      </w:r>
      <w:proofErr w:type="spellEnd"/>
      <w:r w:rsidRPr="003F3F73">
        <w:t xml:space="preserve"> каскад в умовах </w:t>
      </w:r>
      <w:proofErr w:type="spellStart"/>
      <w:r w:rsidRPr="003F3F73">
        <w:t>субтоксичної</w:t>
      </w:r>
      <w:proofErr w:type="spellEnd"/>
      <w:r w:rsidRPr="003F3F73">
        <w:t xml:space="preserve"> тривалої дії на організм теплокровних тварин.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  <w:t xml:space="preserve"> За результатами гострого експерименту Л-303 відноситься до малотоксичних речовин. </w:t>
      </w:r>
      <w:proofErr w:type="spellStart"/>
      <w:r w:rsidRPr="003F3F73">
        <w:t>Середньолетальна</w:t>
      </w:r>
      <w:proofErr w:type="spellEnd"/>
      <w:r w:rsidRPr="003F3F73">
        <w:t xml:space="preserve"> доза (ДЛ</w:t>
      </w:r>
      <w:r w:rsidRPr="003F3F73">
        <w:rPr>
          <w:vertAlign w:val="subscript"/>
        </w:rPr>
        <w:t>50</w:t>
      </w:r>
      <w:r w:rsidRPr="003F3F73">
        <w:t xml:space="preserve">) для даного </w:t>
      </w:r>
      <w:proofErr w:type="spellStart"/>
      <w:r w:rsidRPr="003F3F73">
        <w:t>ксенобіотика</w:t>
      </w:r>
      <w:proofErr w:type="spellEnd"/>
      <w:r w:rsidRPr="003F3F73">
        <w:t xml:space="preserve"> була встановлена на рівні 5,75 г/кг маси тіла тварини. 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Експерименти виконувались на статевозрілих білих щурах масою 180 – </w:t>
      </w:r>
      <w:smartTag w:uri="urn:schemas-microsoft-com:office:smarttags" w:element="metricconverter">
        <w:smartTagPr>
          <w:attr w:name="ProductID" w:val="200 г"/>
        </w:smartTagPr>
        <w:r w:rsidRPr="003F3F73">
          <w:t>200 г</w:t>
        </w:r>
      </w:smartTag>
      <w:r w:rsidRPr="003F3F73">
        <w:t xml:space="preserve">, яким </w:t>
      </w:r>
      <w:proofErr w:type="spellStart"/>
      <w:r w:rsidRPr="003F3F73">
        <w:t>перорально</w:t>
      </w:r>
      <w:proofErr w:type="spellEnd"/>
      <w:r w:rsidRPr="003F3F73">
        <w:t xml:space="preserve"> на протязі 45 діб натщесерце вводилась металевим зондом речовина у вигляді водних розчинів у дозах 1/100 и 1/1000 ДЛ</w:t>
      </w:r>
      <w:r w:rsidRPr="003F3F73">
        <w:rPr>
          <w:vertAlign w:val="subscript"/>
        </w:rPr>
        <w:t>50</w:t>
      </w:r>
      <w:r w:rsidRPr="003F3F73">
        <w:t>. Всі етапи наукового експерименту виконувались у відповідності до правил гуманного ставлення до тварин і вимог ,,Європейської конвенції захисту хребетних тварин, що використовуються у науковому експерименті. – Страсбург, 1986.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Біогенні </w:t>
      </w:r>
      <w:proofErr w:type="spellStart"/>
      <w:r w:rsidRPr="003F3F73">
        <w:t>моноаміни</w:t>
      </w:r>
      <w:proofErr w:type="spellEnd"/>
      <w:r w:rsidRPr="003F3F73">
        <w:t xml:space="preserve"> у печінці і головному мозку (адреналін, </w:t>
      </w:r>
      <w:proofErr w:type="spellStart"/>
      <w:r w:rsidRPr="003F3F73">
        <w:t>норадреналін</w:t>
      </w:r>
      <w:proofErr w:type="spellEnd"/>
      <w:r w:rsidRPr="003F3F73">
        <w:t xml:space="preserve">, серотонін та їх попередники - ДОФА, </w:t>
      </w:r>
      <w:proofErr w:type="spellStart"/>
      <w:r w:rsidRPr="003F3F73">
        <w:t>дофамін</w:t>
      </w:r>
      <w:proofErr w:type="spellEnd"/>
      <w:r w:rsidRPr="003F3F73">
        <w:t xml:space="preserve">, триптофан) визначались за методом </w:t>
      </w:r>
      <w:r w:rsidRPr="003F3F73">
        <w:rPr>
          <w:lang w:val="en-US"/>
        </w:rPr>
        <w:t>Y</w:t>
      </w:r>
      <w:r w:rsidRPr="003F3F73">
        <w:t xml:space="preserve">. </w:t>
      </w:r>
      <w:r w:rsidRPr="003F3F73">
        <w:rPr>
          <w:lang w:val="en-US"/>
        </w:rPr>
        <w:t>Endo</w:t>
      </w:r>
      <w:r w:rsidRPr="003F3F73">
        <w:t xml:space="preserve">, </w:t>
      </w:r>
      <w:r w:rsidRPr="003F3F73">
        <w:rPr>
          <w:lang w:val="en-US"/>
        </w:rPr>
        <w:t>Y</w:t>
      </w:r>
      <w:r w:rsidRPr="003F3F73">
        <w:t xml:space="preserve">. </w:t>
      </w:r>
      <w:r w:rsidRPr="003F3F73">
        <w:rPr>
          <w:lang w:val="en-US"/>
        </w:rPr>
        <w:t>Ogura</w:t>
      </w:r>
      <w:r w:rsidRPr="003F3F73">
        <w:t xml:space="preserve"> [4]. Для зв’язування </w:t>
      </w:r>
      <w:proofErr w:type="spellStart"/>
      <w:r w:rsidRPr="003F3F73">
        <w:t>моноамінів</w:t>
      </w:r>
      <w:proofErr w:type="spellEnd"/>
      <w:r w:rsidRPr="003F3F73">
        <w:t xml:space="preserve"> та їх попередників була використана </w:t>
      </w:r>
      <w:proofErr w:type="spellStart"/>
      <w:r w:rsidRPr="003F3F73">
        <w:t>карбоксиметилцелюлоза</w:t>
      </w:r>
      <w:proofErr w:type="spellEnd"/>
      <w:r w:rsidRPr="003F3F73">
        <w:t xml:space="preserve"> (КМЦ) фірми ,,</w:t>
      </w:r>
      <w:proofErr w:type="spellStart"/>
      <w:r w:rsidRPr="003F3F73">
        <w:rPr>
          <w:lang w:val="en-US"/>
        </w:rPr>
        <w:t>Reanal</w:t>
      </w:r>
      <w:proofErr w:type="spellEnd"/>
      <w:r w:rsidRPr="003F3F73">
        <w:t xml:space="preserve">” ємністю 0,6- 0,3 </w:t>
      </w:r>
      <w:proofErr w:type="spellStart"/>
      <w:r w:rsidRPr="003F3F73">
        <w:t>мекв</w:t>
      </w:r>
      <w:proofErr w:type="spellEnd"/>
      <w:r w:rsidRPr="003F3F73">
        <w:t xml:space="preserve">/г. Окислення досліджуваних субстратів проводили по </w:t>
      </w:r>
      <w:r w:rsidRPr="003F3F73">
        <w:rPr>
          <w:lang w:val="en-US"/>
        </w:rPr>
        <w:t>G</w:t>
      </w:r>
      <w:r w:rsidRPr="003F3F73">
        <w:t xml:space="preserve">. </w:t>
      </w:r>
      <w:proofErr w:type="spellStart"/>
      <w:proofErr w:type="gramStart"/>
      <w:r w:rsidRPr="003F3F73">
        <w:rPr>
          <w:lang w:val="en-US"/>
        </w:rPr>
        <w:t>Slabo</w:t>
      </w:r>
      <w:proofErr w:type="spellEnd"/>
      <w:r w:rsidRPr="003F3F73">
        <w:t xml:space="preserve"> та </w:t>
      </w:r>
      <w:proofErr w:type="spellStart"/>
      <w:r w:rsidRPr="003F3F73">
        <w:t>спвіавт</w:t>
      </w:r>
      <w:proofErr w:type="spellEnd"/>
      <w:r w:rsidRPr="003F3F73">
        <w:t>.</w:t>
      </w:r>
      <w:proofErr w:type="gramEnd"/>
      <w:r w:rsidRPr="003F3F73">
        <w:t xml:space="preserve"> [5]. Дослідження рівнів </w:t>
      </w:r>
      <w:proofErr w:type="spellStart"/>
      <w:r w:rsidRPr="003F3F73">
        <w:t>моноамінів</w:t>
      </w:r>
      <w:proofErr w:type="spellEnd"/>
      <w:r w:rsidRPr="003F3F73">
        <w:t xml:space="preserve"> та їх попередників здійснювалось на спектрофотометрі МПР-4 фірми ,,</w:t>
      </w:r>
      <w:proofErr w:type="spellStart"/>
      <w:r w:rsidRPr="003F3F73">
        <w:t>Хітачі</w:t>
      </w:r>
      <w:proofErr w:type="spellEnd"/>
      <w:r w:rsidRPr="003F3F73">
        <w:t xml:space="preserve">”, після </w:t>
      </w:r>
      <w:proofErr w:type="spellStart"/>
      <w:r w:rsidRPr="003F3F73">
        <w:t>колоночної</w:t>
      </w:r>
      <w:proofErr w:type="spellEnd"/>
      <w:r w:rsidRPr="003F3F73">
        <w:t xml:space="preserve"> хроматографії. Кількісний вміст оцінювався по калібрувальним кривим. </w:t>
      </w:r>
      <w:proofErr w:type="spellStart"/>
      <w:r w:rsidRPr="003F3F73">
        <w:t>Гама-аміномасляна</w:t>
      </w:r>
      <w:proofErr w:type="spellEnd"/>
      <w:r w:rsidRPr="003F3F73">
        <w:t xml:space="preserve"> кислота визначалась  по </w:t>
      </w:r>
      <w:r w:rsidRPr="003F3F73">
        <w:rPr>
          <w:lang w:val="en-US"/>
        </w:rPr>
        <w:t>E</w:t>
      </w:r>
      <w:r w:rsidRPr="003F3F73">
        <w:t xml:space="preserve">. </w:t>
      </w:r>
      <w:proofErr w:type="spellStart"/>
      <w:r w:rsidRPr="003F3F73">
        <w:rPr>
          <w:lang w:val="en-US"/>
        </w:rPr>
        <w:t>Cormana</w:t>
      </w:r>
      <w:proofErr w:type="spellEnd"/>
      <w:r w:rsidRPr="003F3F73">
        <w:t xml:space="preserve">, </w:t>
      </w:r>
      <w:r w:rsidRPr="003F3F73">
        <w:rPr>
          <w:lang w:val="en-US"/>
        </w:rPr>
        <w:t>C</w:t>
      </w:r>
      <w:r w:rsidRPr="003F3F73">
        <w:t xml:space="preserve">. </w:t>
      </w:r>
      <w:proofErr w:type="spellStart"/>
      <w:r w:rsidRPr="003F3F73">
        <w:rPr>
          <w:lang w:val="en-US"/>
        </w:rPr>
        <w:t>Vomes</w:t>
      </w:r>
      <w:proofErr w:type="spellEnd"/>
      <w:r w:rsidRPr="003F3F73">
        <w:t xml:space="preserve">. </w:t>
      </w:r>
      <w:r w:rsidRPr="003F3F73">
        <w:rPr>
          <w:lang w:val="en-US"/>
        </w:rPr>
        <w:t>G</w:t>
      </w:r>
      <w:r w:rsidRPr="003F3F73">
        <w:t xml:space="preserve">. </w:t>
      </w:r>
      <w:proofErr w:type="spellStart"/>
      <w:r w:rsidRPr="003F3F73">
        <w:rPr>
          <w:lang w:val="en-US"/>
        </w:rPr>
        <w:t>Trolin</w:t>
      </w:r>
      <w:proofErr w:type="spellEnd"/>
      <w:r w:rsidRPr="003F3F73">
        <w:t xml:space="preserve"> [6]</w:t>
      </w:r>
      <w:r>
        <w:t>, глу</w:t>
      </w:r>
      <w:r w:rsidRPr="003F3F73">
        <w:t xml:space="preserve">тамінова по </w:t>
      </w:r>
      <w:r w:rsidRPr="003F3F73">
        <w:rPr>
          <w:lang w:val="en-US"/>
        </w:rPr>
        <w:t>H</w:t>
      </w:r>
      <w:r w:rsidRPr="003F3F73">
        <w:t>.</w:t>
      </w:r>
      <w:r w:rsidRPr="003F3F73">
        <w:rPr>
          <w:lang w:val="en-US"/>
        </w:rPr>
        <w:t>U</w:t>
      </w:r>
      <w:r w:rsidRPr="003F3F73">
        <w:t xml:space="preserve">. </w:t>
      </w:r>
      <w:proofErr w:type="spellStart"/>
      <w:r w:rsidRPr="003F3F73">
        <w:rPr>
          <w:lang w:val="en-US"/>
        </w:rPr>
        <w:t>Bergmeyer</w:t>
      </w:r>
      <w:proofErr w:type="spellEnd"/>
      <w:r w:rsidRPr="003F3F73">
        <w:t xml:space="preserve">, </w:t>
      </w:r>
      <w:smartTag w:uri="urn:schemas-microsoft-com:office:smarttags" w:element="place">
        <w:r w:rsidRPr="003F3F73">
          <w:rPr>
            <w:lang w:val="en-US"/>
          </w:rPr>
          <w:t>E</w:t>
        </w:r>
        <w:r w:rsidRPr="003F3F73">
          <w:t xml:space="preserve">. </w:t>
        </w:r>
        <w:proofErr w:type="spellStart"/>
        <w:r w:rsidRPr="003F3F73">
          <w:rPr>
            <w:lang w:val="en-US"/>
          </w:rPr>
          <w:t>Bernt</w:t>
        </w:r>
      </w:smartTag>
      <w:proofErr w:type="spellEnd"/>
      <w:r w:rsidRPr="003F3F73">
        <w:t xml:space="preserve"> [7]. </w:t>
      </w:r>
      <w:proofErr w:type="spellStart"/>
      <w:r w:rsidRPr="003F3F73">
        <w:t>Нейромедіаторні</w:t>
      </w:r>
      <w:proofErr w:type="spellEnd"/>
      <w:r w:rsidRPr="003F3F73">
        <w:t xml:space="preserve"> амінокислоти гліцин, </w:t>
      </w:r>
      <w:proofErr w:type="spellStart"/>
      <w:r w:rsidRPr="003F3F73">
        <w:t>таурин</w:t>
      </w:r>
      <w:proofErr w:type="spellEnd"/>
      <w:r w:rsidRPr="003F3F73">
        <w:t xml:space="preserve">, </w:t>
      </w:r>
      <w:proofErr w:type="spellStart"/>
      <w:r w:rsidRPr="003F3F73">
        <w:t>аспартат</w:t>
      </w:r>
      <w:proofErr w:type="spellEnd"/>
      <w:r w:rsidRPr="003F3F73">
        <w:t xml:space="preserve">, </w:t>
      </w:r>
      <w:proofErr w:type="spellStart"/>
      <w:r w:rsidRPr="003F3F73">
        <w:t>глутамат</w:t>
      </w:r>
      <w:proofErr w:type="spellEnd"/>
      <w:r w:rsidRPr="003F3F73">
        <w:t xml:space="preserve"> визначались у плазмі крові хроматографічним методом на автоматичному аналізаторі амінокислот Т-339 (</w:t>
      </w:r>
      <w:proofErr w:type="spellStart"/>
      <w:r w:rsidRPr="003F3F73">
        <w:t>Чехословакія</w:t>
      </w:r>
      <w:proofErr w:type="spellEnd"/>
      <w:r w:rsidRPr="003F3F73">
        <w:t xml:space="preserve">) по доданим інструкціям і порівняні із стандартними розчинами амінокислот по калібрувальним графікам. Вміст циклічних </w:t>
      </w:r>
      <w:proofErr w:type="spellStart"/>
      <w:r w:rsidRPr="003F3F73">
        <w:t>нуклеотидів</w:t>
      </w:r>
      <w:proofErr w:type="spellEnd"/>
      <w:r w:rsidRPr="003F3F73">
        <w:t xml:space="preserve"> (</w:t>
      </w:r>
      <w:proofErr w:type="spellStart"/>
      <w:r w:rsidRPr="003F3F73">
        <w:t>цАМФ</w:t>
      </w:r>
      <w:proofErr w:type="spellEnd"/>
      <w:r w:rsidRPr="003F3F73">
        <w:t xml:space="preserve">, </w:t>
      </w:r>
      <w:proofErr w:type="spellStart"/>
      <w:r w:rsidRPr="003F3F73">
        <w:t>цГМФ</w:t>
      </w:r>
      <w:proofErr w:type="spellEnd"/>
      <w:r w:rsidRPr="003F3F73">
        <w:t xml:space="preserve">) у мембранах </w:t>
      </w:r>
      <w:proofErr w:type="spellStart"/>
      <w:r w:rsidRPr="003F3F73">
        <w:t>синаптосом</w:t>
      </w:r>
      <w:proofErr w:type="spellEnd"/>
      <w:r w:rsidRPr="003F3F73">
        <w:t xml:space="preserve"> головного мозку і </w:t>
      </w:r>
      <w:proofErr w:type="spellStart"/>
      <w:r w:rsidRPr="003F3F73">
        <w:lastRenderedPageBreak/>
        <w:t>мікросомах</w:t>
      </w:r>
      <w:proofErr w:type="spellEnd"/>
      <w:r w:rsidRPr="003F3F73">
        <w:t xml:space="preserve"> </w:t>
      </w:r>
      <w:proofErr w:type="spellStart"/>
      <w:r w:rsidRPr="003F3F73">
        <w:t>гепатоцитів</w:t>
      </w:r>
      <w:proofErr w:type="spellEnd"/>
      <w:r w:rsidRPr="003F3F73">
        <w:t xml:space="preserve"> печінки визначався </w:t>
      </w:r>
      <w:proofErr w:type="spellStart"/>
      <w:r w:rsidRPr="003F3F73">
        <w:t>радіоімунним</w:t>
      </w:r>
      <w:proofErr w:type="spellEnd"/>
      <w:r w:rsidRPr="003F3F73">
        <w:t xml:space="preserve"> методом за допомогою наборів реактивів фірми ,,</w:t>
      </w:r>
      <w:proofErr w:type="spellStart"/>
      <w:r w:rsidRPr="003F3F73">
        <w:rPr>
          <w:lang w:val="en-US"/>
        </w:rPr>
        <w:t>Amersham</w:t>
      </w:r>
      <w:proofErr w:type="spellEnd"/>
      <w:r w:rsidRPr="003F3F73">
        <w:t xml:space="preserve">” Великобританія [1, 2, 3]. Активність у головному мозку і печінці </w:t>
      </w:r>
      <w:proofErr w:type="spellStart"/>
      <w:r w:rsidRPr="003F3F73">
        <w:t>аденілат-</w:t>
      </w:r>
      <w:proofErr w:type="spellEnd"/>
      <w:r w:rsidRPr="003F3F73">
        <w:t xml:space="preserve"> і </w:t>
      </w:r>
      <w:proofErr w:type="spellStart"/>
      <w:r w:rsidRPr="003F3F73">
        <w:t>гуанілатциклази</w:t>
      </w:r>
      <w:proofErr w:type="spellEnd"/>
      <w:r w:rsidRPr="003F3F73">
        <w:t xml:space="preserve"> оцінювалось по накопиченню продуктів ферментативної реакції – </w:t>
      </w:r>
      <w:proofErr w:type="spellStart"/>
      <w:r w:rsidRPr="003F3F73">
        <w:t>цАМФ</w:t>
      </w:r>
      <w:proofErr w:type="spellEnd"/>
      <w:r w:rsidRPr="003F3F73">
        <w:t xml:space="preserve">, </w:t>
      </w:r>
      <w:proofErr w:type="spellStart"/>
      <w:r w:rsidRPr="003F3F73">
        <w:t>цГМФ</w:t>
      </w:r>
      <w:proofErr w:type="spellEnd"/>
      <w:r w:rsidRPr="003F3F73">
        <w:t xml:space="preserve">. Вміст білка визначався по </w:t>
      </w:r>
      <w:proofErr w:type="spellStart"/>
      <w:r w:rsidRPr="003F3F73">
        <w:t>Лоурі</w:t>
      </w:r>
      <w:proofErr w:type="spellEnd"/>
      <w:r w:rsidRPr="003F3F73">
        <w:t xml:space="preserve"> [8]. Активність </w:t>
      </w:r>
      <w:proofErr w:type="spellStart"/>
      <w:r w:rsidRPr="003F3F73">
        <w:t>фосфодіестерази</w:t>
      </w:r>
      <w:proofErr w:type="spellEnd"/>
      <w:r w:rsidRPr="003F3F73">
        <w:t xml:space="preserve">  (ФДЕ) визначалась по кількості неорганічного фосфату, який утворюється в реакції гідролізу </w:t>
      </w:r>
      <w:proofErr w:type="spellStart"/>
      <w:r w:rsidRPr="003F3F73">
        <w:t>цАМФ</w:t>
      </w:r>
      <w:proofErr w:type="spellEnd"/>
      <w:r w:rsidRPr="003F3F73">
        <w:t>. Поглинання іонів Са</w:t>
      </w:r>
      <w:r w:rsidRPr="003F3F73">
        <w:rPr>
          <w:vertAlign w:val="superscript"/>
        </w:rPr>
        <w:t>2+</w:t>
      </w:r>
      <w:r w:rsidRPr="003F3F73">
        <w:t xml:space="preserve"> мембранами клітин печінки і головного мозку досліджувалось радіоізотопним методом [3, 9]. 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Серед великої кількості хімічних сполук є такі, що володіють властивостями конкурентного зв’язування з гормонами, </w:t>
      </w:r>
      <w:proofErr w:type="spellStart"/>
      <w:r w:rsidRPr="003F3F73">
        <w:t>нейромедіаторами</w:t>
      </w:r>
      <w:proofErr w:type="spellEnd"/>
      <w:r w:rsidRPr="003F3F73">
        <w:t xml:space="preserve">, порушуючи тим самим функцію рецепторного апарату. Це явилось підставою для включення до програми досліджень вивчення стану параметрів рецепторного зв’язування помічених </w:t>
      </w:r>
      <w:proofErr w:type="spellStart"/>
      <w:r w:rsidRPr="003F3F73">
        <w:t>агоністів</w:t>
      </w:r>
      <w:proofErr w:type="spellEnd"/>
      <w:r w:rsidRPr="003F3F73">
        <w:t xml:space="preserve"> і антагоністів С</w:t>
      </w:r>
      <w:r w:rsidRPr="003F3F73">
        <w:rPr>
          <w:vertAlign w:val="subscript"/>
        </w:rPr>
        <w:t>1</w:t>
      </w:r>
      <w:r w:rsidRPr="003F3F73">
        <w:t>-, С</w:t>
      </w:r>
      <w:r w:rsidRPr="003F3F73">
        <w:rPr>
          <w:vertAlign w:val="subscript"/>
        </w:rPr>
        <w:t>2</w:t>
      </w:r>
      <w:r w:rsidRPr="003F3F73">
        <w:t>-серотонінових, α</w:t>
      </w:r>
      <w:r w:rsidRPr="003F3F73">
        <w:rPr>
          <w:vertAlign w:val="subscript"/>
        </w:rPr>
        <w:t>1</w:t>
      </w:r>
      <w:r w:rsidRPr="003F3F73">
        <w:t>-, α</w:t>
      </w:r>
      <w:r w:rsidRPr="003F3F73">
        <w:rPr>
          <w:vertAlign w:val="subscript"/>
        </w:rPr>
        <w:t>2</w:t>
      </w:r>
      <w:r w:rsidRPr="003F3F73">
        <w:t xml:space="preserve">-, </w:t>
      </w:r>
      <w:proofErr w:type="spellStart"/>
      <w:r w:rsidRPr="003F3F73">
        <w:t>β-адренорецепторів</w:t>
      </w:r>
      <w:proofErr w:type="spellEnd"/>
      <w:r w:rsidRPr="003F3F73">
        <w:t xml:space="preserve">, </w:t>
      </w:r>
      <w:r w:rsidRPr="003F3F73">
        <w:rPr>
          <w:lang w:val="en-US"/>
        </w:rPr>
        <w:t>D</w:t>
      </w:r>
      <w:r w:rsidRPr="003F3F73">
        <w:rPr>
          <w:vertAlign w:val="subscript"/>
        </w:rPr>
        <w:t>2</w:t>
      </w:r>
      <w:r w:rsidRPr="003F3F73">
        <w:t xml:space="preserve">-дофамінових та </w:t>
      </w:r>
      <w:proofErr w:type="spellStart"/>
      <w:r w:rsidRPr="003F3F73">
        <w:t>глюкокортикоїдних</w:t>
      </w:r>
      <w:proofErr w:type="spellEnd"/>
      <w:r w:rsidRPr="003F3F73">
        <w:t xml:space="preserve"> рецепторів у різних органах і тканинах з використанням радіоізотопних методів [3, 8, 9]. Величину специфічного </w:t>
      </w:r>
      <w:proofErr w:type="spellStart"/>
      <w:r w:rsidRPr="003F3F73">
        <w:t>радіолігандного</w:t>
      </w:r>
      <w:proofErr w:type="spellEnd"/>
      <w:r w:rsidRPr="003F3F73">
        <w:t xml:space="preserve"> зв’язування оцінювали по різниці поміж загальним і неспецифічним зв’язуванням. Отримані результати аналізували в координатах </w:t>
      </w:r>
      <w:proofErr w:type="spellStart"/>
      <w:r w:rsidRPr="003F3F73">
        <w:t>Скетчарда</w:t>
      </w:r>
      <w:proofErr w:type="spellEnd"/>
      <w:r w:rsidRPr="003F3F73">
        <w:t xml:space="preserve">. Кінетичні характеристики визначали у величинах </w:t>
      </w:r>
      <w:r w:rsidRPr="003F3F73">
        <w:rPr>
          <w:lang w:val="en-US"/>
        </w:rPr>
        <w:t>Kg</w:t>
      </w:r>
      <w:r w:rsidRPr="003F3F73">
        <w:t xml:space="preserve"> (рівноважна константа дисоціації) і В</w:t>
      </w:r>
      <w:r w:rsidRPr="003F3F73">
        <w:rPr>
          <w:vertAlign w:val="subscript"/>
          <w:lang w:val="en-US"/>
        </w:rPr>
        <w:t>max</w:t>
      </w:r>
      <w:r w:rsidRPr="003F3F73">
        <w:t xml:space="preserve"> (кількість місць зв’язування) [3, 9]. 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Результати отриманих даних підлягали статистичному опрацюванню з використанням критерію </w:t>
      </w:r>
      <w:proofErr w:type="spellStart"/>
      <w:r w:rsidRPr="003F3F73">
        <w:t>Стьюдента-Фішера</w:t>
      </w:r>
      <w:proofErr w:type="spellEnd"/>
      <w:r w:rsidRPr="003F3F73">
        <w:t>.</w:t>
      </w:r>
    </w:p>
    <w:p w:rsidR="004273B8" w:rsidRPr="003F3F73" w:rsidRDefault="004273B8" w:rsidP="004273B8">
      <w:pPr>
        <w:spacing w:line="360" w:lineRule="auto"/>
        <w:ind w:firstLine="708"/>
        <w:jc w:val="both"/>
        <w:rPr>
          <w:b/>
          <w:bCs/>
        </w:rPr>
      </w:pPr>
      <w:r w:rsidRPr="003F3F73">
        <w:rPr>
          <w:b/>
          <w:bCs/>
        </w:rPr>
        <w:t>Результати досліджень та їх обговорення.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Результати дослідження біогенних </w:t>
      </w:r>
      <w:proofErr w:type="spellStart"/>
      <w:r w:rsidRPr="003F3F73">
        <w:t>моноамінів</w:t>
      </w:r>
      <w:proofErr w:type="spellEnd"/>
      <w:r w:rsidRPr="003F3F73">
        <w:t xml:space="preserve"> та їх попередників свідчили, що </w:t>
      </w:r>
      <w:proofErr w:type="spellStart"/>
      <w:r w:rsidRPr="003F3F73">
        <w:t>лапроксид</w:t>
      </w:r>
      <w:proofErr w:type="spellEnd"/>
      <w:r w:rsidRPr="003F3F73">
        <w:t xml:space="preserve"> Л-303 в 1/100 ДЛ</w:t>
      </w:r>
      <w:r w:rsidRPr="003F3F73">
        <w:rPr>
          <w:vertAlign w:val="subscript"/>
        </w:rPr>
        <w:t>50</w:t>
      </w:r>
      <w:r w:rsidRPr="003F3F73">
        <w:t xml:space="preserve"> знижував у печінці вміст ДОФА, підвищував </w:t>
      </w:r>
      <w:proofErr w:type="spellStart"/>
      <w:r w:rsidRPr="003F3F73">
        <w:t>норадреналін</w:t>
      </w:r>
      <w:proofErr w:type="spellEnd"/>
      <w:r w:rsidRPr="003F3F73">
        <w:t xml:space="preserve">, триптофан, серотонін та не впливав на </w:t>
      </w:r>
      <w:proofErr w:type="spellStart"/>
      <w:r w:rsidRPr="003F3F73">
        <w:t>дофамін</w:t>
      </w:r>
      <w:proofErr w:type="spellEnd"/>
      <w:r w:rsidRPr="003F3F73">
        <w:t xml:space="preserve">, адреналін (табл. 1). В головному мозку спостерігалось підвищення </w:t>
      </w:r>
      <w:proofErr w:type="spellStart"/>
      <w:r w:rsidRPr="003F3F73">
        <w:t>дофаміну</w:t>
      </w:r>
      <w:proofErr w:type="spellEnd"/>
      <w:r w:rsidRPr="003F3F73">
        <w:t xml:space="preserve">, </w:t>
      </w:r>
      <w:proofErr w:type="spellStart"/>
      <w:r w:rsidRPr="003F3F73">
        <w:t>норадреналіну</w:t>
      </w:r>
      <w:proofErr w:type="spellEnd"/>
      <w:r w:rsidRPr="003F3F73">
        <w:t xml:space="preserve">, адреналіну, серотоніну. В цій дозі </w:t>
      </w:r>
      <w:proofErr w:type="spellStart"/>
      <w:r w:rsidRPr="003F3F73">
        <w:t>лапроксид</w:t>
      </w:r>
      <w:proofErr w:type="spellEnd"/>
      <w:r w:rsidRPr="003F3F73">
        <w:t xml:space="preserve"> не впливав на вміст попередників </w:t>
      </w:r>
      <w:proofErr w:type="spellStart"/>
      <w:r w:rsidRPr="003F3F73">
        <w:t>моноамінів</w:t>
      </w:r>
      <w:proofErr w:type="spellEnd"/>
      <w:r w:rsidRPr="003F3F73">
        <w:t xml:space="preserve"> у головному мозку (ДОФА, триптофан). Аналіз динаміки </w:t>
      </w:r>
      <w:proofErr w:type="spellStart"/>
      <w:r w:rsidRPr="003F3F73">
        <w:t>моноамінів</w:t>
      </w:r>
      <w:proofErr w:type="spellEnd"/>
      <w:r w:rsidRPr="003F3F73">
        <w:t xml:space="preserve"> та їх попередників вказує, що </w:t>
      </w:r>
      <w:proofErr w:type="spellStart"/>
      <w:r w:rsidRPr="003F3F73">
        <w:t>лапроксид</w:t>
      </w:r>
      <w:proofErr w:type="spellEnd"/>
      <w:r w:rsidRPr="003F3F73">
        <w:t xml:space="preserve"> Л-303 в 1/100 ДЛ</w:t>
      </w:r>
      <w:r w:rsidRPr="003F3F73">
        <w:rPr>
          <w:vertAlign w:val="subscript"/>
        </w:rPr>
        <w:t>50</w:t>
      </w:r>
      <w:r w:rsidRPr="003F3F73">
        <w:t xml:space="preserve"> активує у печінці </w:t>
      </w:r>
      <w:proofErr w:type="spellStart"/>
      <w:r w:rsidRPr="003F3F73">
        <w:t>ерготропну</w:t>
      </w:r>
      <w:proofErr w:type="spellEnd"/>
      <w:r w:rsidRPr="003F3F73">
        <w:t xml:space="preserve"> і </w:t>
      </w:r>
      <w:proofErr w:type="spellStart"/>
      <w:r w:rsidRPr="003F3F73">
        <w:t>трофотропну</w:t>
      </w:r>
      <w:proofErr w:type="spellEnd"/>
      <w:r w:rsidRPr="003F3F73">
        <w:t xml:space="preserve"> функцію. Більш суттєвого значення набувають ці процеси у головному мозку, як захисно-пристосувальна реакція нервової тканини на </w:t>
      </w:r>
      <w:proofErr w:type="spellStart"/>
      <w:r w:rsidRPr="003F3F73">
        <w:t>пошкоджуючу</w:t>
      </w:r>
      <w:proofErr w:type="spellEnd"/>
      <w:r w:rsidRPr="003F3F73">
        <w:t xml:space="preserve"> дію </w:t>
      </w:r>
      <w:proofErr w:type="spellStart"/>
      <w:r w:rsidRPr="003F3F73">
        <w:t>ксенобіотика</w:t>
      </w:r>
      <w:proofErr w:type="spellEnd"/>
      <w:r w:rsidRPr="003F3F73">
        <w:t>.</w:t>
      </w:r>
    </w:p>
    <w:p w:rsidR="004273B8" w:rsidRPr="003F3F73" w:rsidRDefault="004273B8" w:rsidP="004273B8">
      <w:pPr>
        <w:spacing w:line="360" w:lineRule="auto"/>
        <w:ind w:firstLine="708"/>
        <w:jc w:val="right"/>
      </w:pPr>
      <w:r w:rsidRPr="003F3F73">
        <w:t>Таблиця 1.</w:t>
      </w:r>
    </w:p>
    <w:p w:rsidR="004273B8" w:rsidRPr="009860CD" w:rsidRDefault="004273B8" w:rsidP="004273B8">
      <w:pPr>
        <w:spacing w:line="360" w:lineRule="auto"/>
        <w:jc w:val="center"/>
        <w:rPr>
          <w:b/>
          <w:bCs/>
        </w:rPr>
      </w:pPr>
      <w:r w:rsidRPr="003F3F73">
        <w:rPr>
          <w:b/>
          <w:bCs/>
        </w:rPr>
        <w:t xml:space="preserve">Вплив </w:t>
      </w:r>
      <w:proofErr w:type="spellStart"/>
      <w:r w:rsidRPr="003F3F73">
        <w:rPr>
          <w:b/>
          <w:bCs/>
        </w:rPr>
        <w:t>лапроксида</w:t>
      </w:r>
      <w:proofErr w:type="spellEnd"/>
      <w:r w:rsidRPr="003F3F73">
        <w:rPr>
          <w:b/>
          <w:bCs/>
        </w:rPr>
        <w:t xml:space="preserve"> Л-303 на обмін біогенних </w:t>
      </w:r>
      <w:proofErr w:type="spellStart"/>
      <w:r w:rsidRPr="003F3F73">
        <w:rPr>
          <w:b/>
          <w:bCs/>
        </w:rPr>
        <w:t>моноамінів</w:t>
      </w:r>
      <w:proofErr w:type="spellEnd"/>
      <w:r w:rsidRPr="003F3F73">
        <w:rPr>
          <w:b/>
          <w:bCs/>
        </w:rPr>
        <w:t xml:space="preserve"> та їх попередників в печінці та головному мозку (</w:t>
      </w:r>
      <w:proofErr w:type="spellStart"/>
      <w:r w:rsidRPr="003F3F73">
        <w:rPr>
          <w:b/>
          <w:bCs/>
        </w:rPr>
        <w:t>мкг</w:t>
      </w:r>
      <w:proofErr w:type="spellEnd"/>
      <w:r w:rsidRPr="003F3F73">
        <w:rPr>
          <w:b/>
          <w:bCs/>
        </w:rPr>
        <w:t>/г тканини)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33"/>
        <w:gridCol w:w="1294"/>
        <w:gridCol w:w="1309"/>
        <w:gridCol w:w="1280"/>
        <w:gridCol w:w="1281"/>
        <w:gridCol w:w="1294"/>
        <w:gridCol w:w="1280"/>
      </w:tblGrid>
      <w:tr w:rsidR="004273B8" w:rsidRPr="003F3F73" w:rsidTr="007B097A">
        <w:trPr>
          <w:trHeight w:val="158"/>
        </w:trPr>
        <w:tc>
          <w:tcPr>
            <w:tcW w:w="1908" w:type="dxa"/>
            <w:vMerge w:val="restart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Показники</w:t>
            </w:r>
          </w:p>
        </w:tc>
        <w:tc>
          <w:tcPr>
            <w:tcW w:w="7946" w:type="dxa"/>
            <w:gridSpan w:val="6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Органи, М</w:t>
            </w:r>
            <w:r w:rsidRPr="009860CD">
              <w:rPr>
                <w:caps/>
                <w:sz w:val="20"/>
                <w:szCs w:val="20"/>
              </w:rPr>
              <w:t>±</w:t>
            </w:r>
            <w:r w:rsidRPr="009860CD">
              <w:rPr>
                <w:sz w:val="20"/>
                <w:szCs w:val="20"/>
                <w:lang w:val="en-US"/>
              </w:rPr>
              <w:t>m</w:t>
            </w:r>
            <w:r w:rsidRPr="009860CD">
              <w:rPr>
                <w:sz w:val="20"/>
                <w:szCs w:val="20"/>
              </w:rPr>
              <w:t>, ДЛ</w:t>
            </w:r>
            <w:r w:rsidRPr="009860CD">
              <w:rPr>
                <w:sz w:val="20"/>
                <w:szCs w:val="20"/>
                <w:vertAlign w:val="subscript"/>
              </w:rPr>
              <w:t>50</w:t>
            </w:r>
          </w:p>
        </w:tc>
      </w:tr>
      <w:tr w:rsidR="004273B8" w:rsidRPr="003F3F73" w:rsidTr="007B097A">
        <w:trPr>
          <w:trHeight w:val="158"/>
        </w:trPr>
        <w:tc>
          <w:tcPr>
            <w:tcW w:w="1908" w:type="dxa"/>
            <w:vMerge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3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 xml:space="preserve">Печінка </w:t>
            </w:r>
          </w:p>
        </w:tc>
        <w:tc>
          <w:tcPr>
            <w:tcW w:w="3973" w:type="dxa"/>
            <w:gridSpan w:val="3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Головний мозок</w:t>
            </w:r>
          </w:p>
        </w:tc>
      </w:tr>
      <w:tr w:rsidR="004273B8" w:rsidRPr="003F3F73" w:rsidTr="007B097A">
        <w:trPr>
          <w:trHeight w:val="157"/>
        </w:trPr>
        <w:tc>
          <w:tcPr>
            <w:tcW w:w="1908" w:type="dxa"/>
            <w:vMerge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324" w:type="dxa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1/100</w:t>
            </w:r>
          </w:p>
        </w:tc>
        <w:tc>
          <w:tcPr>
            <w:tcW w:w="1325" w:type="dxa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1/1000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Контроль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1/100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1/1000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lastRenderedPageBreak/>
              <w:t>ДОФА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12,2</w:t>
            </w:r>
            <w:r w:rsidRPr="009860CD">
              <w:rPr>
                <w:caps/>
                <w:sz w:val="20"/>
                <w:szCs w:val="20"/>
              </w:rPr>
              <w:t>±1,3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7,3</w:t>
            </w:r>
            <w:r w:rsidRPr="009860CD">
              <w:rPr>
                <w:caps/>
                <w:sz w:val="20"/>
                <w:szCs w:val="20"/>
              </w:rPr>
              <w:t>±0,84*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13,4</w:t>
            </w:r>
            <w:r w:rsidRPr="009860CD">
              <w:rPr>
                <w:caps/>
                <w:sz w:val="20"/>
                <w:szCs w:val="20"/>
              </w:rPr>
              <w:t>±1,56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3,7</w:t>
            </w:r>
            <w:r w:rsidRPr="009860CD">
              <w:rPr>
                <w:caps/>
                <w:sz w:val="20"/>
                <w:szCs w:val="20"/>
              </w:rPr>
              <w:t>±0,42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3,6</w:t>
            </w:r>
            <w:r w:rsidRPr="009860CD">
              <w:rPr>
                <w:caps/>
                <w:sz w:val="20"/>
                <w:szCs w:val="20"/>
              </w:rPr>
              <w:t>±0,32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3,5</w:t>
            </w:r>
            <w:r w:rsidRPr="009860CD">
              <w:rPr>
                <w:caps/>
                <w:sz w:val="20"/>
                <w:szCs w:val="20"/>
              </w:rPr>
              <w:t>±0,37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60CD">
              <w:rPr>
                <w:sz w:val="20"/>
                <w:szCs w:val="20"/>
              </w:rPr>
              <w:t>Дофамін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6,3</w:t>
            </w:r>
            <w:r w:rsidRPr="009860CD">
              <w:rPr>
                <w:caps/>
                <w:sz w:val="20"/>
                <w:szCs w:val="20"/>
              </w:rPr>
              <w:t>±0,48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5,4</w:t>
            </w:r>
            <w:r w:rsidRPr="009860CD">
              <w:rPr>
                <w:caps/>
                <w:sz w:val="20"/>
                <w:szCs w:val="20"/>
              </w:rPr>
              <w:t>±0,38*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6,2</w:t>
            </w:r>
            <w:r w:rsidRPr="009860CD">
              <w:rPr>
                <w:caps/>
                <w:sz w:val="20"/>
                <w:szCs w:val="20"/>
              </w:rPr>
              <w:t>±0,53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1,76</w:t>
            </w:r>
            <w:r w:rsidRPr="009860CD">
              <w:rPr>
                <w:caps/>
                <w:sz w:val="20"/>
                <w:szCs w:val="20"/>
              </w:rPr>
              <w:t>±0,15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2,75</w:t>
            </w:r>
            <w:r w:rsidRPr="009860CD">
              <w:rPr>
                <w:caps/>
                <w:sz w:val="20"/>
                <w:szCs w:val="20"/>
              </w:rPr>
              <w:t>±0,34*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1,82</w:t>
            </w:r>
            <w:r w:rsidRPr="009860CD">
              <w:rPr>
                <w:caps/>
                <w:sz w:val="20"/>
                <w:szCs w:val="20"/>
              </w:rPr>
              <w:t>±0,23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860CD">
              <w:rPr>
                <w:sz w:val="20"/>
                <w:szCs w:val="20"/>
              </w:rPr>
              <w:t>Норадреналін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0,32</w:t>
            </w:r>
            <w:r w:rsidRPr="009860CD">
              <w:rPr>
                <w:caps/>
                <w:sz w:val="20"/>
                <w:szCs w:val="20"/>
              </w:rPr>
              <w:t>±0,014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1,79</w:t>
            </w:r>
            <w:r w:rsidRPr="009860CD">
              <w:rPr>
                <w:caps/>
                <w:sz w:val="20"/>
                <w:szCs w:val="20"/>
              </w:rPr>
              <w:t>±0,14*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0,34</w:t>
            </w:r>
            <w:r w:rsidRPr="009860CD">
              <w:rPr>
                <w:caps/>
                <w:sz w:val="20"/>
                <w:szCs w:val="20"/>
              </w:rPr>
              <w:t>±0,02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0,85</w:t>
            </w:r>
            <w:r w:rsidRPr="009860CD">
              <w:rPr>
                <w:caps/>
                <w:sz w:val="20"/>
                <w:szCs w:val="20"/>
              </w:rPr>
              <w:t>±0,07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2,84</w:t>
            </w:r>
            <w:r w:rsidRPr="009860CD">
              <w:rPr>
                <w:caps/>
                <w:sz w:val="20"/>
                <w:szCs w:val="20"/>
              </w:rPr>
              <w:t>±0,26*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0,84</w:t>
            </w:r>
            <w:r w:rsidRPr="009860CD">
              <w:rPr>
                <w:caps/>
                <w:sz w:val="20"/>
                <w:szCs w:val="20"/>
              </w:rPr>
              <w:t>±0,08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Адреналін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0,39</w:t>
            </w:r>
            <w:r w:rsidRPr="009860CD">
              <w:rPr>
                <w:caps/>
                <w:sz w:val="20"/>
                <w:szCs w:val="20"/>
              </w:rPr>
              <w:t>±0,05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0,37</w:t>
            </w:r>
            <w:r w:rsidRPr="009860CD">
              <w:rPr>
                <w:caps/>
                <w:sz w:val="20"/>
                <w:szCs w:val="20"/>
              </w:rPr>
              <w:t>±0,06*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0,37</w:t>
            </w:r>
            <w:r w:rsidRPr="009860CD">
              <w:rPr>
                <w:caps/>
                <w:sz w:val="20"/>
                <w:szCs w:val="20"/>
              </w:rPr>
              <w:t>±0,06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0,14</w:t>
            </w:r>
            <w:r w:rsidRPr="009860CD">
              <w:rPr>
                <w:caps/>
                <w:sz w:val="20"/>
                <w:szCs w:val="20"/>
              </w:rPr>
              <w:t>±0,02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0,25</w:t>
            </w:r>
            <w:r w:rsidRPr="009860CD">
              <w:rPr>
                <w:caps/>
                <w:sz w:val="20"/>
                <w:szCs w:val="20"/>
              </w:rPr>
              <w:t>±0,04*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0,16</w:t>
            </w:r>
            <w:r w:rsidRPr="009860CD">
              <w:rPr>
                <w:caps/>
                <w:sz w:val="20"/>
                <w:szCs w:val="20"/>
              </w:rPr>
              <w:t>±0,03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Триптофан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8,7</w:t>
            </w:r>
            <w:r w:rsidRPr="009860CD">
              <w:rPr>
                <w:caps/>
                <w:sz w:val="20"/>
                <w:szCs w:val="20"/>
              </w:rPr>
              <w:t>±0,63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12,93</w:t>
            </w:r>
            <w:r w:rsidRPr="009860CD">
              <w:rPr>
                <w:caps/>
                <w:sz w:val="20"/>
                <w:szCs w:val="20"/>
              </w:rPr>
              <w:t>±1,12*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8,5</w:t>
            </w:r>
            <w:r w:rsidRPr="009860CD">
              <w:rPr>
                <w:caps/>
                <w:sz w:val="20"/>
                <w:szCs w:val="20"/>
              </w:rPr>
              <w:t>±0,74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5,6</w:t>
            </w:r>
            <w:r w:rsidRPr="009860CD">
              <w:rPr>
                <w:caps/>
                <w:sz w:val="20"/>
                <w:szCs w:val="20"/>
              </w:rPr>
              <w:t>±0,64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6,1</w:t>
            </w:r>
            <w:r w:rsidRPr="009860CD">
              <w:rPr>
                <w:caps/>
                <w:sz w:val="20"/>
                <w:szCs w:val="20"/>
              </w:rPr>
              <w:t>±0,48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5,3</w:t>
            </w:r>
            <w:r w:rsidRPr="009860CD">
              <w:rPr>
                <w:caps/>
                <w:sz w:val="20"/>
                <w:szCs w:val="20"/>
              </w:rPr>
              <w:t>±0,48</w:t>
            </w:r>
          </w:p>
        </w:tc>
      </w:tr>
      <w:tr w:rsidR="004273B8" w:rsidRPr="003F3F73" w:rsidTr="007B097A">
        <w:tc>
          <w:tcPr>
            <w:tcW w:w="1908" w:type="dxa"/>
          </w:tcPr>
          <w:p w:rsidR="004273B8" w:rsidRPr="009860C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Серотонін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5,4</w:t>
            </w:r>
            <w:r w:rsidRPr="009860CD">
              <w:rPr>
                <w:caps/>
                <w:sz w:val="20"/>
                <w:szCs w:val="20"/>
              </w:rPr>
              <w:t>±0,47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8,6</w:t>
            </w:r>
            <w:r w:rsidRPr="009860CD">
              <w:rPr>
                <w:caps/>
                <w:sz w:val="20"/>
                <w:szCs w:val="20"/>
              </w:rPr>
              <w:t>±0,65*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5,3</w:t>
            </w:r>
            <w:r w:rsidRPr="009860CD">
              <w:rPr>
                <w:caps/>
                <w:sz w:val="20"/>
                <w:szCs w:val="20"/>
              </w:rPr>
              <w:t>±0,62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2,2</w:t>
            </w:r>
            <w:r w:rsidRPr="009860CD">
              <w:rPr>
                <w:caps/>
                <w:sz w:val="20"/>
                <w:szCs w:val="20"/>
              </w:rPr>
              <w:t>±0,18</w:t>
            </w:r>
          </w:p>
        </w:tc>
        <w:tc>
          <w:tcPr>
            <w:tcW w:w="1324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4,7</w:t>
            </w:r>
            <w:r w:rsidRPr="009860CD">
              <w:rPr>
                <w:caps/>
                <w:sz w:val="20"/>
                <w:szCs w:val="20"/>
              </w:rPr>
              <w:t>±0,32*</w:t>
            </w:r>
          </w:p>
        </w:tc>
        <w:tc>
          <w:tcPr>
            <w:tcW w:w="1325" w:type="dxa"/>
            <w:shd w:val="clear" w:color="auto" w:fill="auto"/>
          </w:tcPr>
          <w:p w:rsidR="004273B8" w:rsidRPr="009860C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60CD">
              <w:rPr>
                <w:sz w:val="20"/>
                <w:szCs w:val="20"/>
              </w:rPr>
              <w:t>2,3</w:t>
            </w:r>
            <w:r w:rsidRPr="009860CD">
              <w:rPr>
                <w:caps/>
                <w:sz w:val="20"/>
                <w:szCs w:val="20"/>
              </w:rPr>
              <w:t>±0,26</w:t>
            </w:r>
          </w:p>
        </w:tc>
      </w:tr>
    </w:tbl>
    <w:p w:rsidR="004273B8" w:rsidRDefault="004273B8" w:rsidP="004273B8">
      <w:pPr>
        <w:spacing w:line="360" w:lineRule="auto"/>
        <w:jc w:val="both"/>
      </w:pPr>
      <w:r w:rsidRPr="003F3F73">
        <w:t xml:space="preserve">Примітка: * - різниця </w:t>
      </w:r>
      <w:proofErr w:type="spellStart"/>
      <w:r w:rsidRPr="003F3F73">
        <w:t>вирогідна</w:t>
      </w:r>
      <w:proofErr w:type="spellEnd"/>
      <w:r w:rsidRPr="003F3F73">
        <w:t>, р&lt;0,05</w:t>
      </w:r>
    </w:p>
    <w:p w:rsidR="004273B8" w:rsidRDefault="004273B8" w:rsidP="004273B8">
      <w:pPr>
        <w:spacing w:line="360" w:lineRule="auto"/>
        <w:ind w:firstLine="708"/>
        <w:jc w:val="both"/>
      </w:pPr>
      <w:r w:rsidRPr="003F3F73">
        <w:t xml:space="preserve">Велика роль в підтримці гомеостазу належить </w:t>
      </w:r>
      <w:proofErr w:type="spellStart"/>
      <w:r w:rsidRPr="003F3F73">
        <w:t>нейротрансміттерам</w:t>
      </w:r>
      <w:proofErr w:type="spellEnd"/>
      <w:r w:rsidRPr="003F3F73">
        <w:t xml:space="preserve"> – </w:t>
      </w:r>
      <w:proofErr w:type="spellStart"/>
      <w:r w:rsidRPr="003F3F73">
        <w:t>цАМФ</w:t>
      </w:r>
      <w:proofErr w:type="spellEnd"/>
      <w:r w:rsidRPr="003F3F73">
        <w:t xml:space="preserve"> та </w:t>
      </w:r>
      <w:proofErr w:type="spellStart"/>
      <w:r w:rsidRPr="003F3F73">
        <w:t>цГМФ</w:t>
      </w:r>
      <w:proofErr w:type="spellEnd"/>
      <w:r w:rsidRPr="003F3F73">
        <w:t xml:space="preserve">. Відомий тісний зв'язок між вмістом </w:t>
      </w:r>
      <w:proofErr w:type="spellStart"/>
      <w:r w:rsidRPr="003F3F73">
        <w:t>нейромедіаторів</w:t>
      </w:r>
      <w:proofErr w:type="spellEnd"/>
      <w:r w:rsidRPr="003F3F73">
        <w:t xml:space="preserve"> і циклічними </w:t>
      </w:r>
      <w:proofErr w:type="spellStart"/>
      <w:r w:rsidRPr="003F3F73">
        <w:t>нуклеотидами</w:t>
      </w:r>
      <w:proofErr w:type="spellEnd"/>
      <w:r w:rsidRPr="003F3F73">
        <w:t xml:space="preserve">. Виходячи із цього, суттєвий інтерес мало вивчення вмісту в органах і тканинах під впливом Л-303 ,,вторинних </w:t>
      </w:r>
      <w:proofErr w:type="spellStart"/>
      <w:r w:rsidRPr="003F3F73">
        <w:t>месенджерів</w:t>
      </w:r>
      <w:proofErr w:type="spellEnd"/>
      <w:r w:rsidRPr="003F3F73">
        <w:t xml:space="preserve">”. Відомо, що будь який гормон, </w:t>
      </w:r>
      <w:proofErr w:type="spellStart"/>
      <w:r w:rsidRPr="003F3F73">
        <w:t>нейромедіатор</w:t>
      </w:r>
      <w:proofErr w:type="spellEnd"/>
      <w:r w:rsidRPr="003F3F73">
        <w:t xml:space="preserve">, токсин, метаболіт обміну речовин впливає на клітину через систему циклічних </w:t>
      </w:r>
      <w:proofErr w:type="spellStart"/>
      <w:r w:rsidRPr="003F3F73">
        <w:t>нуклеотидів</w:t>
      </w:r>
      <w:proofErr w:type="spellEnd"/>
      <w:r w:rsidRPr="003F3F73">
        <w:t xml:space="preserve"> та впливає на механізми забезпечення процесів адаптації і гомеостазу. Внутрішньоклітинні медіатори оперативно реагують на підвищення вимог, що полягає в необхідності більш інтенсивного функціонування органів, систем або цілісного організму. Циклічні </w:t>
      </w:r>
      <w:proofErr w:type="spellStart"/>
      <w:r w:rsidRPr="003F3F73">
        <w:t>нуклеотиди</w:t>
      </w:r>
      <w:proofErr w:type="spellEnd"/>
      <w:r w:rsidRPr="003F3F73">
        <w:t xml:space="preserve"> виступають у якості ланцюга мобілізації внутрішніх резервів – перебудови метаболізму на новий більш високий рівень функціонування. Підвищення вмісту </w:t>
      </w:r>
      <w:proofErr w:type="spellStart"/>
      <w:r w:rsidRPr="003F3F73">
        <w:t>цАМФ</w:t>
      </w:r>
      <w:proofErr w:type="spellEnd"/>
      <w:r w:rsidRPr="003F3F73">
        <w:t xml:space="preserve"> – найбільш рання ознака стрес-реакції клітини. Тому, надмірна активація системи циклічних </w:t>
      </w:r>
      <w:proofErr w:type="spellStart"/>
      <w:r w:rsidRPr="003F3F73">
        <w:t>нуклеотидів</w:t>
      </w:r>
      <w:proofErr w:type="spellEnd"/>
      <w:r w:rsidRPr="003F3F73">
        <w:t xml:space="preserve"> часто призводить до розвитку патологічних процесів. Вплив </w:t>
      </w:r>
      <w:proofErr w:type="spellStart"/>
      <w:r w:rsidRPr="003F3F73">
        <w:t>Лапроксида</w:t>
      </w:r>
      <w:proofErr w:type="spellEnd"/>
      <w:r w:rsidRPr="003F3F73">
        <w:t xml:space="preserve"> Л-303 на циклічні </w:t>
      </w:r>
      <w:proofErr w:type="spellStart"/>
      <w:r w:rsidRPr="003F3F73">
        <w:t>нуклеотиди</w:t>
      </w:r>
      <w:proofErr w:type="spellEnd"/>
      <w:r w:rsidRPr="003F3F73">
        <w:t xml:space="preserve"> характеризувався динамічними змінами активності поєднаних систем: </w:t>
      </w:r>
      <w:proofErr w:type="spellStart"/>
      <w:r w:rsidRPr="003F3F73">
        <w:t>аденілатциклаза</w:t>
      </w:r>
      <w:proofErr w:type="spellEnd"/>
      <w:r w:rsidRPr="003F3F73">
        <w:t xml:space="preserve"> – </w:t>
      </w:r>
      <w:proofErr w:type="spellStart"/>
      <w:r w:rsidRPr="003F3F73">
        <w:t>цАМФ</w:t>
      </w:r>
      <w:proofErr w:type="spellEnd"/>
      <w:r w:rsidRPr="003F3F73">
        <w:t xml:space="preserve">, </w:t>
      </w:r>
      <w:proofErr w:type="spellStart"/>
      <w:r w:rsidRPr="003F3F73">
        <w:t>гуанілатциклаза</w:t>
      </w:r>
      <w:proofErr w:type="spellEnd"/>
      <w:r w:rsidRPr="003F3F73">
        <w:t xml:space="preserve"> – </w:t>
      </w:r>
      <w:proofErr w:type="spellStart"/>
      <w:r w:rsidRPr="003F3F73">
        <w:t>цГМФ</w:t>
      </w:r>
      <w:proofErr w:type="spellEnd"/>
      <w:r w:rsidRPr="003F3F73">
        <w:t xml:space="preserve"> у різних органах і тканинах. Так, </w:t>
      </w:r>
      <w:proofErr w:type="spellStart"/>
      <w:r w:rsidRPr="003F3F73">
        <w:t>Лапроксид</w:t>
      </w:r>
      <w:proofErr w:type="spellEnd"/>
      <w:r w:rsidRPr="003F3F73">
        <w:t xml:space="preserve"> Л-303 в 1/100 ДЛ</w:t>
      </w:r>
      <w:r w:rsidRPr="003F3F73">
        <w:rPr>
          <w:vertAlign w:val="subscript"/>
        </w:rPr>
        <w:t>50</w:t>
      </w:r>
      <w:r w:rsidRPr="003F3F73">
        <w:t xml:space="preserve"> знижував у головному мозку та печінці активність </w:t>
      </w:r>
      <w:proofErr w:type="spellStart"/>
      <w:r w:rsidRPr="003F3F73">
        <w:t>аденілатциклази</w:t>
      </w:r>
      <w:proofErr w:type="spellEnd"/>
      <w:r w:rsidRPr="003F3F73">
        <w:t xml:space="preserve"> і вмісту </w:t>
      </w:r>
      <w:proofErr w:type="spellStart"/>
      <w:r w:rsidRPr="003F3F73">
        <w:t>цАМФ</w:t>
      </w:r>
      <w:proofErr w:type="spellEnd"/>
      <w:r w:rsidRPr="003F3F73">
        <w:t xml:space="preserve"> та підвищував у цих органах </w:t>
      </w:r>
      <w:proofErr w:type="spellStart"/>
      <w:r w:rsidRPr="003F3F73">
        <w:t>гуанілатциклазу</w:t>
      </w:r>
      <w:proofErr w:type="spellEnd"/>
      <w:r w:rsidRPr="003F3F73">
        <w:t xml:space="preserve"> і </w:t>
      </w:r>
      <w:proofErr w:type="spellStart"/>
      <w:r w:rsidRPr="003F3F73">
        <w:t>цГМФ</w:t>
      </w:r>
      <w:proofErr w:type="spellEnd"/>
      <w:r w:rsidRPr="003F3F73">
        <w:t xml:space="preserve">. </w:t>
      </w:r>
      <w:proofErr w:type="spellStart"/>
      <w:r w:rsidRPr="003F3F73">
        <w:t>Фосфодіестразна</w:t>
      </w:r>
      <w:proofErr w:type="spellEnd"/>
      <w:r w:rsidRPr="003F3F73">
        <w:t xml:space="preserve"> активність підвищувалась на фоні зростання інтенсивності поглинання іонів </w:t>
      </w:r>
      <w:r w:rsidRPr="003F3F73">
        <w:rPr>
          <w:vertAlign w:val="superscript"/>
        </w:rPr>
        <w:t>45</w:t>
      </w:r>
      <w:r w:rsidRPr="003F3F73">
        <w:t>Са</w:t>
      </w:r>
      <w:r w:rsidRPr="003F3F73">
        <w:rPr>
          <w:vertAlign w:val="superscript"/>
        </w:rPr>
        <w:t>2+</w:t>
      </w:r>
      <w:r w:rsidRPr="003F3F73">
        <w:t xml:space="preserve"> мембранними фракціями клітин печінки і головного мозку (табл. 2). 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 xml:space="preserve">Аналіз вказує, що </w:t>
      </w:r>
      <w:proofErr w:type="spellStart"/>
      <w:r w:rsidRPr="003F3F73">
        <w:t>Лапроксид</w:t>
      </w:r>
      <w:proofErr w:type="spellEnd"/>
      <w:r w:rsidRPr="003F3F73">
        <w:t xml:space="preserve"> Л-303 впливає на внутрішньоклітинні метаболічні процеси через систему пригнічення АЦ → </w:t>
      </w:r>
      <w:proofErr w:type="spellStart"/>
      <w:r w:rsidRPr="003F3F73">
        <w:t>цАМФ</w:t>
      </w:r>
      <w:proofErr w:type="spellEnd"/>
      <w:r w:rsidRPr="003F3F73">
        <w:t xml:space="preserve"> та активації ГЦ → </w:t>
      </w:r>
      <w:proofErr w:type="spellStart"/>
      <w:r w:rsidRPr="003F3F73">
        <w:t>цГМФ</w:t>
      </w:r>
      <w:proofErr w:type="spellEnd"/>
      <w:r w:rsidRPr="003F3F73">
        <w:t xml:space="preserve">, що свідчить про значну напругу відновлювальних синтезів, як реакції на суттєві структурно-функціональні зміни у клітинному апараті. Результати дослідження дають змогу судити, що </w:t>
      </w:r>
      <w:proofErr w:type="spellStart"/>
      <w:r w:rsidRPr="003F3F73">
        <w:t>Лапроксиду</w:t>
      </w:r>
      <w:proofErr w:type="spellEnd"/>
      <w:r w:rsidRPr="003F3F73">
        <w:t xml:space="preserve"> Л-303 властиві </w:t>
      </w:r>
      <w:proofErr w:type="spellStart"/>
      <w:r w:rsidRPr="003F3F73">
        <w:t>мембранотропні</w:t>
      </w:r>
      <w:proofErr w:type="spellEnd"/>
      <w:r w:rsidRPr="003F3F73">
        <w:t xml:space="preserve"> ефекти, які поєднані з підвищенням швидкості старіння організму. У дозі 1/1000 ДЛ</w:t>
      </w:r>
      <w:r w:rsidRPr="003F3F73">
        <w:rPr>
          <w:vertAlign w:val="subscript"/>
        </w:rPr>
        <w:t>50</w:t>
      </w:r>
      <w:r w:rsidRPr="003F3F73">
        <w:t xml:space="preserve"> </w:t>
      </w:r>
      <w:proofErr w:type="spellStart"/>
      <w:r w:rsidRPr="003F3F73">
        <w:t>тригліци</w:t>
      </w:r>
      <w:r>
        <w:t>диловий</w:t>
      </w:r>
      <w:proofErr w:type="spellEnd"/>
      <w:r>
        <w:t xml:space="preserve"> ефір </w:t>
      </w:r>
      <w:proofErr w:type="spellStart"/>
      <w:r>
        <w:t>поліоксипропілентрі</w:t>
      </w:r>
      <w:r w:rsidRPr="003F3F73">
        <w:t>ол</w:t>
      </w:r>
      <w:r>
        <w:t>у</w:t>
      </w:r>
      <w:proofErr w:type="spellEnd"/>
      <w:r>
        <w:t xml:space="preserve"> не впливає на </w:t>
      </w:r>
      <w:proofErr w:type="spellStart"/>
      <w:r>
        <w:t>нейромедіаторний</w:t>
      </w:r>
      <w:proofErr w:type="spellEnd"/>
      <w:r w:rsidRPr="003F3F73">
        <w:t xml:space="preserve"> обмін, </w:t>
      </w:r>
      <w:proofErr w:type="spellStart"/>
      <w:r w:rsidRPr="003F3F73">
        <w:t>циклазний</w:t>
      </w:r>
      <w:proofErr w:type="spellEnd"/>
      <w:r w:rsidRPr="003F3F73">
        <w:t xml:space="preserve"> каскад, систему ,,вторинних </w:t>
      </w:r>
      <w:proofErr w:type="spellStart"/>
      <w:r w:rsidRPr="003F3F73">
        <w:t>месенджерів</w:t>
      </w:r>
      <w:proofErr w:type="spellEnd"/>
      <w:r w:rsidRPr="003F3F73">
        <w:t>” і внутріклітинний метаболізм.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  <w:t xml:space="preserve">Відомий тісний зв'язок між станом адренергічної і </w:t>
      </w:r>
      <w:proofErr w:type="spellStart"/>
      <w:r w:rsidRPr="003F3F73">
        <w:t>ГАМК-ергічної</w:t>
      </w:r>
      <w:proofErr w:type="spellEnd"/>
      <w:r w:rsidRPr="003F3F73">
        <w:t xml:space="preserve"> </w:t>
      </w:r>
      <w:proofErr w:type="spellStart"/>
      <w:r w:rsidRPr="003F3F73">
        <w:t>нейромедіаторними</w:t>
      </w:r>
      <w:proofErr w:type="spellEnd"/>
      <w:r w:rsidRPr="003F3F73">
        <w:t xml:space="preserve"> системами. Тому, в умовах тривалої </w:t>
      </w:r>
      <w:proofErr w:type="spellStart"/>
      <w:r w:rsidRPr="003F3F73">
        <w:t>субтоксичної</w:t>
      </w:r>
      <w:proofErr w:type="spellEnd"/>
      <w:r w:rsidRPr="003F3F73">
        <w:t xml:space="preserve"> дії </w:t>
      </w:r>
      <w:proofErr w:type="spellStart"/>
      <w:r w:rsidRPr="003F3F73">
        <w:t>ксенобіотиків</w:t>
      </w:r>
      <w:proofErr w:type="spellEnd"/>
      <w:r w:rsidRPr="003F3F73">
        <w:t xml:space="preserve"> </w:t>
      </w:r>
      <w:r w:rsidRPr="003F3F73">
        <w:lastRenderedPageBreak/>
        <w:t xml:space="preserve">значний інтерес представляє дослідження механізмів, що забезпечують рівновагу організму із навколишнім середовищем, його адаптацію та компенсацію втраченої функції. До таких метаболічних систем відноситься система </w:t>
      </w:r>
      <w:proofErr w:type="spellStart"/>
      <w:r w:rsidRPr="003F3F73">
        <w:t>глутамат</w:t>
      </w:r>
      <w:proofErr w:type="spellEnd"/>
      <w:r w:rsidRPr="003F3F73">
        <w:t xml:space="preserve"> / ГАМК. З </w:t>
      </w:r>
      <w:proofErr w:type="spellStart"/>
      <w:r w:rsidRPr="003F3F73">
        <w:t>ГАМК-ергічною</w:t>
      </w:r>
      <w:proofErr w:type="spellEnd"/>
      <w:r w:rsidRPr="003F3F73">
        <w:t xml:space="preserve"> системою пов’язують ефекти гальмування, тоді як з </w:t>
      </w:r>
      <w:proofErr w:type="spellStart"/>
      <w:r w:rsidRPr="003F3F73">
        <w:t>глутаматом</w:t>
      </w:r>
      <w:proofErr w:type="spellEnd"/>
      <w:r w:rsidRPr="003F3F73">
        <w:t xml:space="preserve"> – збудження. Переконливо доказано взаємний вплив цих </w:t>
      </w:r>
      <w:proofErr w:type="spellStart"/>
      <w:r w:rsidRPr="003F3F73">
        <w:t>нейромедіаторів</w:t>
      </w:r>
      <w:proofErr w:type="spellEnd"/>
      <w:r w:rsidRPr="003F3F73">
        <w:t xml:space="preserve"> один на одного, наявність багатьох зв’язків з </w:t>
      </w:r>
      <w:proofErr w:type="spellStart"/>
      <w:r w:rsidRPr="003F3F73">
        <w:t>серотонін-</w:t>
      </w:r>
      <w:proofErr w:type="spellEnd"/>
      <w:r w:rsidRPr="003F3F73">
        <w:t xml:space="preserve">, </w:t>
      </w:r>
      <w:proofErr w:type="spellStart"/>
      <w:r w:rsidRPr="003F3F73">
        <w:t>норадреналін-</w:t>
      </w:r>
      <w:proofErr w:type="spellEnd"/>
      <w:r w:rsidRPr="003F3F73">
        <w:t xml:space="preserve">, </w:t>
      </w:r>
      <w:proofErr w:type="spellStart"/>
      <w:r w:rsidRPr="003F3F73">
        <w:t>дофамін-</w:t>
      </w:r>
      <w:proofErr w:type="spellEnd"/>
      <w:r w:rsidRPr="003F3F73">
        <w:t xml:space="preserve">, </w:t>
      </w:r>
      <w:proofErr w:type="spellStart"/>
      <w:r w:rsidRPr="003F3F73">
        <w:t>адреналін-ергічними</w:t>
      </w:r>
      <w:proofErr w:type="spellEnd"/>
      <w:r w:rsidRPr="003F3F73">
        <w:t xml:space="preserve"> системами, які тісно поєднані з процесами забезпечення гомеостатичної функції організму. Результати дослідження стану </w:t>
      </w:r>
      <w:proofErr w:type="spellStart"/>
      <w:r w:rsidRPr="003F3F73">
        <w:t>глутамат</w:t>
      </w:r>
      <w:proofErr w:type="spellEnd"/>
      <w:r w:rsidRPr="003F3F73">
        <w:t xml:space="preserve"> / ГАМК поєднаної метаболічної системи у печінці виявили зростання, як </w:t>
      </w:r>
      <w:proofErr w:type="spellStart"/>
      <w:r w:rsidRPr="003F3F73">
        <w:t>глутамату</w:t>
      </w:r>
      <w:proofErr w:type="spellEnd"/>
      <w:r w:rsidRPr="003F3F73">
        <w:t>, так і ГАМК  під впливом 1/100 ДЛ</w:t>
      </w:r>
      <w:r w:rsidRPr="003F3F73">
        <w:rPr>
          <w:vertAlign w:val="subscript"/>
        </w:rPr>
        <w:t>50</w:t>
      </w:r>
      <w:r w:rsidRPr="003F3F73">
        <w:t xml:space="preserve">. Зовсім інша динаміка вмісту </w:t>
      </w:r>
      <w:proofErr w:type="spellStart"/>
      <w:r w:rsidRPr="003F3F73">
        <w:t>нейромедіаторів</w:t>
      </w:r>
      <w:proofErr w:type="spellEnd"/>
      <w:r w:rsidRPr="003F3F73">
        <w:t xml:space="preserve"> спостерігалась у головному мозку – </w:t>
      </w:r>
      <w:proofErr w:type="spellStart"/>
      <w:r w:rsidRPr="003F3F73">
        <w:t>глутамат</w:t>
      </w:r>
      <w:proofErr w:type="spellEnd"/>
      <w:r w:rsidRPr="003F3F73">
        <w:t xml:space="preserve"> знижувався, тоді як ГАМК підвищувався (табл. 3). </w:t>
      </w:r>
    </w:p>
    <w:p w:rsidR="004273B8" w:rsidRPr="003F3F73" w:rsidRDefault="004273B8" w:rsidP="004273B8">
      <w:pPr>
        <w:spacing w:line="360" w:lineRule="auto"/>
        <w:jc w:val="right"/>
      </w:pPr>
      <w:r w:rsidRPr="003F3F73">
        <w:tab/>
        <w:t>Таблиця 2.</w:t>
      </w:r>
    </w:p>
    <w:p w:rsidR="004273B8" w:rsidRPr="0014572D" w:rsidRDefault="004273B8" w:rsidP="004273B8">
      <w:pPr>
        <w:spacing w:line="360" w:lineRule="auto"/>
        <w:jc w:val="center"/>
        <w:rPr>
          <w:b/>
        </w:rPr>
      </w:pPr>
      <w:r w:rsidRPr="003F3F73">
        <w:rPr>
          <w:b/>
        </w:rPr>
        <w:t xml:space="preserve">Вплив </w:t>
      </w:r>
      <w:proofErr w:type="spellStart"/>
      <w:r w:rsidRPr="003F3F73">
        <w:rPr>
          <w:b/>
        </w:rPr>
        <w:t>лапроксида</w:t>
      </w:r>
      <w:proofErr w:type="spellEnd"/>
      <w:r w:rsidRPr="003F3F73">
        <w:rPr>
          <w:b/>
        </w:rPr>
        <w:t xml:space="preserve"> Л-303 на внутрішньоклітинний </w:t>
      </w:r>
      <w:proofErr w:type="spellStart"/>
      <w:r w:rsidRPr="003F3F73">
        <w:rPr>
          <w:b/>
        </w:rPr>
        <w:t>медіаторний</w:t>
      </w:r>
      <w:proofErr w:type="spellEnd"/>
      <w:r w:rsidRPr="003F3F73">
        <w:rPr>
          <w:b/>
        </w:rPr>
        <w:t xml:space="preserve"> </w:t>
      </w:r>
      <w:proofErr w:type="spellStart"/>
      <w:r w:rsidRPr="003F3F73">
        <w:rPr>
          <w:b/>
        </w:rPr>
        <w:t>циклазний</w:t>
      </w:r>
      <w:proofErr w:type="spellEnd"/>
      <w:r w:rsidRPr="003F3F73">
        <w:rPr>
          <w:b/>
        </w:rPr>
        <w:t xml:space="preserve"> каскад і систему ,,вторинних </w:t>
      </w:r>
      <w:proofErr w:type="spellStart"/>
      <w:r w:rsidRPr="003F3F73">
        <w:rPr>
          <w:b/>
        </w:rPr>
        <w:t>месенджерів</w:t>
      </w:r>
      <w:proofErr w:type="spellEnd"/>
      <w:r w:rsidRPr="003F3F73">
        <w:rPr>
          <w:b/>
        </w:rPr>
        <w:t>”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08"/>
        <w:gridCol w:w="1618"/>
        <w:gridCol w:w="1626"/>
        <w:gridCol w:w="1619"/>
      </w:tblGrid>
      <w:tr w:rsidR="004273B8" w:rsidRPr="0014572D" w:rsidTr="007B097A">
        <w:trPr>
          <w:trHeight w:val="158"/>
        </w:trPr>
        <w:tc>
          <w:tcPr>
            <w:tcW w:w="4927" w:type="dxa"/>
            <w:vMerge w:val="restart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Показники, органи</w:t>
            </w:r>
          </w:p>
        </w:tc>
        <w:tc>
          <w:tcPr>
            <w:tcW w:w="4927" w:type="dxa"/>
            <w:gridSpan w:val="3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ДЛ</w:t>
            </w:r>
            <w:r w:rsidRPr="0014572D">
              <w:rPr>
                <w:sz w:val="20"/>
                <w:szCs w:val="20"/>
                <w:vertAlign w:val="subscript"/>
              </w:rPr>
              <w:t>50</w:t>
            </w:r>
            <w:r w:rsidRPr="0014572D">
              <w:rPr>
                <w:sz w:val="20"/>
                <w:szCs w:val="20"/>
              </w:rPr>
              <w:t>, М</w:t>
            </w:r>
            <w:r w:rsidRPr="0014572D">
              <w:rPr>
                <w:caps/>
                <w:sz w:val="20"/>
                <w:szCs w:val="20"/>
              </w:rPr>
              <w:t>±</w:t>
            </w:r>
            <w:r w:rsidRPr="0014572D">
              <w:rPr>
                <w:sz w:val="20"/>
                <w:szCs w:val="20"/>
                <w:lang w:val="en-US"/>
              </w:rPr>
              <w:t>m</w:t>
            </w:r>
          </w:p>
        </w:tc>
      </w:tr>
      <w:tr w:rsidR="004273B8" w:rsidRPr="0014572D" w:rsidTr="007B097A">
        <w:trPr>
          <w:trHeight w:val="157"/>
        </w:trPr>
        <w:tc>
          <w:tcPr>
            <w:tcW w:w="4927" w:type="dxa"/>
            <w:vMerge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Контроль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1/1000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АЦ – головний мозок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цАМФ</w:t>
            </w:r>
            <w:proofErr w:type="spellEnd"/>
            <w:r w:rsidRPr="0014572D">
              <w:rPr>
                <w:sz w:val="20"/>
                <w:szCs w:val="20"/>
              </w:rPr>
              <w:t xml:space="preserve"> / мг білка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                                                 </w:t>
            </w:r>
            <w:r w:rsidRPr="0014572D">
              <w:rPr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4572D">
              <w:rPr>
                <w:sz w:val="20"/>
                <w:szCs w:val="20"/>
              </w:rPr>
              <w:t>ізопротеринол</w:t>
            </w:r>
            <w:proofErr w:type="spellEnd"/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 xml:space="preserve">                                                 + </w:t>
            </w:r>
            <w:proofErr w:type="spellStart"/>
            <w:r w:rsidRPr="0014572D">
              <w:rPr>
                <w:sz w:val="20"/>
                <w:szCs w:val="20"/>
                <w:lang w:val="en-US"/>
              </w:rPr>
              <w:t>NaF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8,4</w:t>
            </w:r>
            <w:r w:rsidRPr="0014572D">
              <w:rPr>
                <w:caps/>
                <w:sz w:val="20"/>
                <w:szCs w:val="20"/>
              </w:rPr>
              <w:t>±0,57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1,45±0,11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1,76±0,14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3,2</w:t>
            </w:r>
            <w:r w:rsidRPr="0014572D">
              <w:rPr>
                <w:caps/>
                <w:sz w:val="20"/>
                <w:szCs w:val="20"/>
              </w:rPr>
              <w:t>±0,26*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0,73±0,08*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0,82±0,09*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7,9</w:t>
            </w:r>
            <w:r w:rsidRPr="0014572D">
              <w:rPr>
                <w:caps/>
                <w:sz w:val="20"/>
                <w:szCs w:val="20"/>
              </w:rPr>
              <w:t>±0,63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1,47±0,15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1,65±0,18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АЦ – печінка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цАМФ</w:t>
            </w:r>
            <w:proofErr w:type="spellEnd"/>
            <w:r w:rsidRPr="0014572D">
              <w:rPr>
                <w:sz w:val="20"/>
                <w:szCs w:val="20"/>
              </w:rPr>
              <w:t xml:space="preserve"> / мг </w:t>
            </w:r>
            <w:proofErr w:type="spellStart"/>
            <w:r w:rsidRPr="0014572D">
              <w:rPr>
                <w:sz w:val="20"/>
                <w:szCs w:val="20"/>
              </w:rPr>
              <w:t>белка</w:t>
            </w:r>
            <w:proofErr w:type="spellEnd"/>
            <w:r w:rsidRPr="0014572D">
              <w:rPr>
                <w:sz w:val="20"/>
                <w:szCs w:val="20"/>
              </w:rPr>
              <w:t xml:space="preserve">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                                                 </w:t>
            </w:r>
            <w:r w:rsidRPr="0014572D">
              <w:rPr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14572D">
              <w:rPr>
                <w:sz w:val="20"/>
                <w:szCs w:val="20"/>
              </w:rPr>
              <w:t>ізопротеринол</w:t>
            </w:r>
            <w:proofErr w:type="spellEnd"/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                                                 + </w:t>
            </w:r>
            <w:proofErr w:type="spellStart"/>
            <w:r w:rsidRPr="0014572D">
              <w:rPr>
                <w:sz w:val="20"/>
                <w:szCs w:val="20"/>
                <w:lang w:val="en-US"/>
              </w:rPr>
              <w:t>NaF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2,4</w:t>
            </w:r>
            <w:r w:rsidRPr="0014572D">
              <w:rPr>
                <w:caps/>
                <w:sz w:val="20"/>
                <w:szCs w:val="20"/>
              </w:rPr>
              <w:t>±0,17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2,8±0,24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4,3±0,28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1,33</w:t>
            </w:r>
            <w:r w:rsidRPr="0014572D">
              <w:rPr>
                <w:caps/>
                <w:sz w:val="20"/>
                <w:szCs w:val="20"/>
              </w:rPr>
              <w:t>±0,16*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0,76±0,08*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2,65±0,24*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2,53</w:t>
            </w:r>
            <w:r w:rsidRPr="0014572D">
              <w:rPr>
                <w:caps/>
                <w:sz w:val="20"/>
                <w:szCs w:val="20"/>
              </w:rPr>
              <w:t>±0,24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2,7±0,22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4,4±0,35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Поглинання </w:t>
            </w:r>
            <w:r w:rsidRPr="0014572D">
              <w:rPr>
                <w:sz w:val="20"/>
                <w:szCs w:val="20"/>
                <w:vertAlign w:val="superscript"/>
              </w:rPr>
              <w:t>45</w:t>
            </w:r>
            <w:r w:rsidRPr="0014572D">
              <w:rPr>
                <w:sz w:val="20"/>
                <w:szCs w:val="20"/>
              </w:rPr>
              <w:t>Са</w:t>
            </w:r>
            <w:r w:rsidRPr="0014572D">
              <w:rPr>
                <w:sz w:val="20"/>
                <w:szCs w:val="20"/>
                <w:vertAlign w:val="superscript"/>
              </w:rPr>
              <w:t>2+</w:t>
            </w:r>
            <w:r w:rsidRPr="0014572D">
              <w:rPr>
                <w:sz w:val="20"/>
                <w:szCs w:val="20"/>
              </w:rPr>
              <w:t xml:space="preserve"> мембранами </w:t>
            </w:r>
            <w:proofErr w:type="spellStart"/>
            <w:r w:rsidRPr="0014572D">
              <w:rPr>
                <w:sz w:val="20"/>
                <w:szCs w:val="20"/>
              </w:rPr>
              <w:t>гепатоцитів</w:t>
            </w:r>
            <w:proofErr w:type="spellEnd"/>
            <w:r w:rsidRPr="0014572D">
              <w:rPr>
                <w:sz w:val="20"/>
                <w:szCs w:val="20"/>
              </w:rPr>
              <w:t xml:space="preserve"> (</w:t>
            </w:r>
            <w:proofErr w:type="spellStart"/>
            <w:r w:rsidRPr="0014572D">
              <w:rPr>
                <w:sz w:val="20"/>
                <w:szCs w:val="20"/>
              </w:rPr>
              <w:t>імп</w:t>
            </w:r>
            <w:proofErr w:type="spellEnd"/>
            <w:r w:rsidRPr="0014572D">
              <w:rPr>
                <w:sz w:val="20"/>
                <w:szCs w:val="20"/>
              </w:rPr>
              <w:t xml:space="preserve"> /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 xml:space="preserve"> ∙ мг білка) </w:t>
            </w:r>
          </w:p>
          <w:p w:rsidR="004273B8" w:rsidRPr="0014572D" w:rsidRDefault="004273B8" w:rsidP="007B097A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базальне</w:t>
            </w:r>
          </w:p>
          <w:p w:rsidR="004273B8" w:rsidRPr="0014572D" w:rsidRDefault="004273B8" w:rsidP="007B097A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</w:t>
            </w:r>
            <w:r w:rsidRPr="0014572D">
              <w:rPr>
                <w:sz w:val="20"/>
                <w:szCs w:val="20"/>
                <w:vertAlign w:val="superscript"/>
              </w:rPr>
              <w:t>+</w:t>
            </w:r>
            <w:r w:rsidRPr="0014572D">
              <w:rPr>
                <w:sz w:val="20"/>
                <w:szCs w:val="20"/>
              </w:rPr>
              <w:t>-стимульоване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5794,3</w:t>
            </w:r>
            <w:r w:rsidRPr="0014572D">
              <w:rPr>
                <w:caps/>
                <w:sz w:val="20"/>
                <w:szCs w:val="20"/>
              </w:rPr>
              <w:t>±42,7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7264,8±57,3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9838,4</w:t>
            </w:r>
            <w:r w:rsidRPr="0014572D">
              <w:rPr>
                <w:caps/>
                <w:sz w:val="20"/>
                <w:szCs w:val="20"/>
              </w:rPr>
              <w:t>±67,2*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12417,6±73,8*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6815,6</w:t>
            </w:r>
            <w:r w:rsidRPr="0014572D">
              <w:rPr>
                <w:caps/>
                <w:sz w:val="20"/>
                <w:szCs w:val="20"/>
              </w:rPr>
              <w:t>±57,4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7310,5±65,8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Поглинання </w:t>
            </w:r>
            <w:r w:rsidRPr="0014572D">
              <w:rPr>
                <w:sz w:val="20"/>
                <w:szCs w:val="20"/>
                <w:vertAlign w:val="superscript"/>
              </w:rPr>
              <w:t>45</w:t>
            </w:r>
            <w:r w:rsidRPr="0014572D">
              <w:rPr>
                <w:sz w:val="20"/>
                <w:szCs w:val="20"/>
              </w:rPr>
              <w:t>Са</w:t>
            </w:r>
            <w:r w:rsidRPr="0014572D">
              <w:rPr>
                <w:sz w:val="20"/>
                <w:szCs w:val="20"/>
                <w:vertAlign w:val="superscript"/>
              </w:rPr>
              <w:t>2+</w:t>
            </w:r>
            <w:r w:rsidRPr="0014572D">
              <w:rPr>
                <w:sz w:val="20"/>
                <w:szCs w:val="20"/>
              </w:rPr>
              <w:t xml:space="preserve"> мембранами клітин головного мозку (</w:t>
            </w:r>
            <w:proofErr w:type="spellStart"/>
            <w:r w:rsidRPr="0014572D">
              <w:rPr>
                <w:sz w:val="20"/>
                <w:szCs w:val="20"/>
              </w:rPr>
              <w:t>імп</w:t>
            </w:r>
            <w:proofErr w:type="spellEnd"/>
            <w:r w:rsidRPr="0014572D">
              <w:rPr>
                <w:sz w:val="20"/>
                <w:szCs w:val="20"/>
              </w:rPr>
              <w:t xml:space="preserve"> /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 xml:space="preserve"> ∙ мг білка) </w:t>
            </w:r>
          </w:p>
          <w:p w:rsidR="004273B8" w:rsidRPr="0014572D" w:rsidRDefault="004273B8" w:rsidP="007B097A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Базальне</w:t>
            </w:r>
          </w:p>
          <w:p w:rsidR="004273B8" w:rsidRPr="0014572D" w:rsidRDefault="004273B8" w:rsidP="007B097A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</w:t>
            </w:r>
            <w:r w:rsidRPr="0014572D">
              <w:rPr>
                <w:sz w:val="20"/>
                <w:szCs w:val="20"/>
                <w:vertAlign w:val="superscript"/>
              </w:rPr>
              <w:t>+</w:t>
            </w:r>
            <w:r w:rsidRPr="0014572D">
              <w:rPr>
                <w:sz w:val="20"/>
                <w:szCs w:val="20"/>
              </w:rPr>
              <w:t>-стимульоване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9430,7</w:t>
            </w:r>
            <w:r w:rsidRPr="0014572D">
              <w:rPr>
                <w:caps/>
                <w:sz w:val="20"/>
                <w:szCs w:val="20"/>
              </w:rPr>
              <w:t>±48,6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15927,4±78,5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12580,4</w:t>
            </w:r>
            <w:r w:rsidRPr="0014572D">
              <w:rPr>
                <w:caps/>
                <w:sz w:val="20"/>
                <w:szCs w:val="20"/>
              </w:rPr>
              <w:t>±67,3*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20787,4±88,6*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9385,6</w:t>
            </w:r>
            <w:r w:rsidRPr="0014572D">
              <w:rPr>
                <w:caps/>
                <w:sz w:val="20"/>
                <w:szCs w:val="20"/>
              </w:rPr>
              <w:t>±52,7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caps/>
                <w:sz w:val="20"/>
                <w:szCs w:val="20"/>
              </w:rPr>
              <w:t>16102,3±96,8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АЦ – кора головного мозку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цАМФ</w:t>
            </w:r>
            <w:proofErr w:type="spellEnd"/>
            <w:r w:rsidRPr="0014572D">
              <w:rPr>
                <w:sz w:val="20"/>
                <w:szCs w:val="20"/>
              </w:rPr>
              <w:t xml:space="preserve"> / мг білка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112,5</w:t>
            </w:r>
            <w:r w:rsidRPr="0014572D">
              <w:rPr>
                <w:caps/>
                <w:sz w:val="20"/>
                <w:szCs w:val="20"/>
              </w:rPr>
              <w:t>±6,7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72,3</w:t>
            </w:r>
            <w:r w:rsidRPr="0014572D">
              <w:rPr>
                <w:caps/>
                <w:sz w:val="20"/>
                <w:szCs w:val="20"/>
              </w:rPr>
              <w:t>±5,8*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107,4</w:t>
            </w:r>
            <w:r w:rsidRPr="0014572D">
              <w:rPr>
                <w:caps/>
                <w:sz w:val="20"/>
                <w:szCs w:val="20"/>
              </w:rPr>
              <w:t>±8,6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цАМФ</w:t>
            </w:r>
            <w:proofErr w:type="spellEnd"/>
            <w:r w:rsidRPr="0014572D">
              <w:rPr>
                <w:sz w:val="20"/>
                <w:szCs w:val="20"/>
              </w:rPr>
              <w:t xml:space="preserve"> – кора головного мозку (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 мг тканини)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480,6</w:t>
            </w:r>
            <w:r w:rsidRPr="0014572D">
              <w:rPr>
                <w:caps/>
                <w:sz w:val="20"/>
                <w:szCs w:val="20"/>
              </w:rPr>
              <w:t>±9,3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236,7</w:t>
            </w:r>
            <w:r w:rsidRPr="0014572D">
              <w:rPr>
                <w:caps/>
                <w:sz w:val="20"/>
                <w:szCs w:val="20"/>
              </w:rPr>
              <w:t>±8,4*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495,3</w:t>
            </w:r>
            <w:r w:rsidRPr="0014572D">
              <w:rPr>
                <w:caps/>
                <w:sz w:val="20"/>
                <w:szCs w:val="20"/>
              </w:rPr>
              <w:t>±12,7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ГЦ – кора головного мозку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цГМФ</w:t>
            </w:r>
            <w:proofErr w:type="spellEnd"/>
            <w:r w:rsidRPr="0014572D">
              <w:rPr>
                <w:sz w:val="20"/>
                <w:szCs w:val="20"/>
              </w:rPr>
              <w:t xml:space="preserve"> / мг білка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0,77</w:t>
            </w:r>
            <w:r w:rsidRPr="0014572D">
              <w:rPr>
                <w:caps/>
                <w:sz w:val="20"/>
                <w:szCs w:val="20"/>
              </w:rPr>
              <w:t>±0,08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2,43</w:t>
            </w:r>
            <w:r w:rsidRPr="0014572D">
              <w:rPr>
                <w:caps/>
                <w:sz w:val="20"/>
                <w:szCs w:val="20"/>
              </w:rPr>
              <w:t>±0,17*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0,81</w:t>
            </w:r>
            <w:r w:rsidRPr="0014572D">
              <w:rPr>
                <w:caps/>
                <w:sz w:val="20"/>
                <w:szCs w:val="20"/>
              </w:rPr>
              <w:t>±0,09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цГМФ</w:t>
            </w:r>
            <w:proofErr w:type="spellEnd"/>
            <w:r w:rsidRPr="0014572D">
              <w:rPr>
                <w:sz w:val="20"/>
                <w:szCs w:val="20"/>
              </w:rPr>
              <w:t xml:space="preserve"> – кора головного мозку (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 мг тканини)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54,3</w:t>
            </w:r>
            <w:r w:rsidRPr="0014572D">
              <w:rPr>
                <w:caps/>
                <w:sz w:val="20"/>
                <w:szCs w:val="20"/>
              </w:rPr>
              <w:t>±2,75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85,6</w:t>
            </w:r>
            <w:r w:rsidRPr="0014572D">
              <w:rPr>
                <w:caps/>
                <w:sz w:val="20"/>
                <w:szCs w:val="20"/>
              </w:rPr>
              <w:t>±4,13*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52,6</w:t>
            </w:r>
            <w:r w:rsidRPr="0014572D">
              <w:rPr>
                <w:caps/>
                <w:sz w:val="20"/>
                <w:szCs w:val="20"/>
              </w:rPr>
              <w:t>±3,65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ФДЕ – головний мозок (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 мг білка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4,30</w:t>
            </w:r>
            <w:r w:rsidRPr="0014572D">
              <w:rPr>
                <w:caps/>
                <w:sz w:val="20"/>
                <w:szCs w:val="20"/>
              </w:rPr>
              <w:t>±0,37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8,7</w:t>
            </w:r>
            <w:r w:rsidRPr="0014572D">
              <w:rPr>
                <w:caps/>
                <w:sz w:val="20"/>
                <w:szCs w:val="20"/>
              </w:rPr>
              <w:t>±0,62*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4,53</w:t>
            </w:r>
            <w:r w:rsidRPr="0014572D">
              <w:rPr>
                <w:caps/>
                <w:sz w:val="20"/>
                <w:szCs w:val="20"/>
              </w:rPr>
              <w:t>±0,46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ГЦ – печінка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цГМФ</w:t>
            </w:r>
            <w:proofErr w:type="spellEnd"/>
            <w:r w:rsidRPr="0014572D">
              <w:rPr>
                <w:sz w:val="20"/>
                <w:szCs w:val="20"/>
              </w:rPr>
              <w:t xml:space="preserve"> / мг </w:t>
            </w:r>
            <w:proofErr w:type="spellStart"/>
            <w:r w:rsidRPr="0014572D">
              <w:rPr>
                <w:sz w:val="20"/>
                <w:szCs w:val="20"/>
              </w:rPr>
              <w:t>белка</w:t>
            </w:r>
            <w:proofErr w:type="spellEnd"/>
            <w:r w:rsidRPr="0014572D">
              <w:rPr>
                <w:sz w:val="20"/>
                <w:szCs w:val="20"/>
              </w:rPr>
              <w:t xml:space="preserve">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5,4</w:t>
            </w:r>
            <w:r w:rsidRPr="0014572D">
              <w:rPr>
                <w:caps/>
                <w:sz w:val="20"/>
                <w:szCs w:val="20"/>
              </w:rPr>
              <w:t>±0,48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12,6</w:t>
            </w:r>
            <w:r w:rsidRPr="0014572D">
              <w:rPr>
                <w:caps/>
                <w:sz w:val="20"/>
                <w:szCs w:val="20"/>
              </w:rPr>
              <w:t>±1,14*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6,10</w:t>
            </w:r>
            <w:r w:rsidRPr="0014572D">
              <w:rPr>
                <w:caps/>
                <w:sz w:val="20"/>
                <w:szCs w:val="20"/>
              </w:rPr>
              <w:t>±0,57</w:t>
            </w:r>
          </w:p>
        </w:tc>
      </w:tr>
      <w:tr w:rsidR="004273B8" w:rsidRPr="0014572D" w:rsidTr="007B097A">
        <w:tc>
          <w:tcPr>
            <w:tcW w:w="4927" w:type="dxa"/>
          </w:tcPr>
          <w:p w:rsidR="004273B8" w:rsidRPr="0014572D" w:rsidRDefault="004273B8" w:rsidP="007B097A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lastRenderedPageBreak/>
              <w:t>ГЦ – головний мозок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  <w:proofErr w:type="spellStart"/>
            <w:r w:rsidRPr="0014572D">
              <w:rPr>
                <w:sz w:val="20"/>
                <w:szCs w:val="20"/>
              </w:rPr>
              <w:t>цГМФ</w:t>
            </w:r>
            <w:proofErr w:type="spellEnd"/>
            <w:r w:rsidRPr="0014572D">
              <w:rPr>
                <w:sz w:val="20"/>
                <w:szCs w:val="20"/>
              </w:rPr>
              <w:t xml:space="preserve"> / мг білка ∙ </w:t>
            </w:r>
            <w:proofErr w:type="spellStart"/>
            <w:r w:rsidRPr="0014572D">
              <w:rPr>
                <w:sz w:val="20"/>
                <w:szCs w:val="20"/>
              </w:rPr>
              <w:t>хв</w:t>
            </w:r>
            <w:proofErr w:type="spellEnd"/>
            <w:r w:rsidRPr="0014572D">
              <w:rPr>
                <w:sz w:val="20"/>
                <w:szCs w:val="20"/>
              </w:rPr>
              <w:t>)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3,6</w:t>
            </w:r>
            <w:r w:rsidRPr="0014572D">
              <w:rPr>
                <w:caps/>
                <w:sz w:val="20"/>
                <w:szCs w:val="20"/>
              </w:rPr>
              <w:t>±0,23</w:t>
            </w:r>
          </w:p>
        </w:tc>
        <w:tc>
          <w:tcPr>
            <w:tcW w:w="1642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7,6</w:t>
            </w:r>
            <w:r w:rsidRPr="0014572D">
              <w:rPr>
                <w:caps/>
                <w:sz w:val="20"/>
                <w:szCs w:val="20"/>
              </w:rPr>
              <w:t>±0,65*</w:t>
            </w:r>
          </w:p>
        </w:tc>
        <w:tc>
          <w:tcPr>
            <w:tcW w:w="164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3,8</w:t>
            </w:r>
            <w:r w:rsidRPr="0014572D">
              <w:rPr>
                <w:caps/>
                <w:sz w:val="20"/>
                <w:szCs w:val="20"/>
              </w:rPr>
              <w:t>±0,34</w:t>
            </w:r>
          </w:p>
        </w:tc>
      </w:tr>
    </w:tbl>
    <w:p w:rsidR="004273B8" w:rsidRPr="003F3F73" w:rsidRDefault="004273B8" w:rsidP="004273B8">
      <w:pPr>
        <w:spacing w:line="360" w:lineRule="auto"/>
        <w:jc w:val="both"/>
      </w:pPr>
      <w:r w:rsidRPr="003F3F73">
        <w:t xml:space="preserve">Примітка: * - різниця </w:t>
      </w:r>
      <w:proofErr w:type="spellStart"/>
      <w:r w:rsidRPr="003F3F73">
        <w:t>вирогідна</w:t>
      </w:r>
      <w:proofErr w:type="spellEnd"/>
      <w:r w:rsidRPr="003F3F73">
        <w:t>, р&lt;0,05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Оскільки, ці </w:t>
      </w:r>
      <w:proofErr w:type="spellStart"/>
      <w:r w:rsidRPr="003F3F73">
        <w:t>медіаторні</w:t>
      </w:r>
      <w:proofErr w:type="spellEnd"/>
      <w:r w:rsidRPr="003F3F73">
        <w:t xml:space="preserve"> системи тісно </w:t>
      </w:r>
      <w:proofErr w:type="spellStart"/>
      <w:r w:rsidRPr="003F3F73">
        <w:t>метаболічно</w:t>
      </w:r>
      <w:proofErr w:type="spellEnd"/>
      <w:r w:rsidRPr="003F3F73">
        <w:t xml:space="preserve"> поєднані, то співвідношення у печінці ГАМК / </w:t>
      </w:r>
      <w:proofErr w:type="spellStart"/>
      <w:r w:rsidRPr="003F3F73">
        <w:t>глутамат</w:t>
      </w:r>
      <w:proofErr w:type="spellEnd"/>
      <w:r w:rsidRPr="003F3F73">
        <w:t xml:space="preserve"> контрольної групи тварин складало 1: 34,45, тоді як у експериментальних 1 : 63,03. Ці дані свідчать, що у печінці активовані </w:t>
      </w:r>
      <w:proofErr w:type="spellStart"/>
      <w:r w:rsidRPr="003F3F73">
        <w:t>ГАМК-ергічні</w:t>
      </w:r>
      <w:proofErr w:type="spellEnd"/>
      <w:r w:rsidRPr="003F3F73">
        <w:t xml:space="preserve"> впливи на метаболічні процеси, як результат підвищення захисно-пристосувальних і адаптаційних механізмів. У головному мозку контрольної групи тварин співвідношення ГАМК / </w:t>
      </w:r>
      <w:proofErr w:type="spellStart"/>
      <w:r w:rsidRPr="003F3F73">
        <w:t>глутамат</w:t>
      </w:r>
      <w:proofErr w:type="spellEnd"/>
      <w:r w:rsidRPr="003F3F73">
        <w:t xml:space="preserve"> було на рівні 1 : 9,63, тоді як під впливом 1/100 ДЛ</w:t>
      </w:r>
      <w:r w:rsidRPr="003F3F73">
        <w:rPr>
          <w:vertAlign w:val="subscript"/>
        </w:rPr>
        <w:t>50</w:t>
      </w:r>
      <w:r w:rsidRPr="003F3F73">
        <w:t xml:space="preserve"> воно зростало до величин 1 : 128,11, що вказує на ще більш високий рівень захисних механізмів спрямованих на забезпечення гомеостатичної функції організму. Дослідження свідчать, що активація гальмівних процесів, як у печінці, так і у головному мозку спрямована на підтримку гомеостазу. </w:t>
      </w:r>
    </w:p>
    <w:p w:rsidR="004273B8" w:rsidRPr="003F3F73" w:rsidRDefault="004273B8" w:rsidP="004273B8">
      <w:pPr>
        <w:spacing w:line="360" w:lineRule="auto"/>
        <w:jc w:val="right"/>
      </w:pPr>
      <w:r w:rsidRPr="003F3F73">
        <w:t>Таблиця 3.</w:t>
      </w:r>
    </w:p>
    <w:p w:rsidR="004273B8" w:rsidRPr="003F3F73" w:rsidRDefault="004273B8" w:rsidP="004273B8">
      <w:pPr>
        <w:spacing w:line="360" w:lineRule="auto"/>
        <w:jc w:val="center"/>
        <w:rPr>
          <w:b/>
          <w:bCs/>
        </w:rPr>
      </w:pPr>
      <w:r w:rsidRPr="003F3F73">
        <w:rPr>
          <w:b/>
          <w:bCs/>
        </w:rPr>
        <w:t xml:space="preserve">Вплив </w:t>
      </w:r>
      <w:proofErr w:type="spellStart"/>
      <w:r w:rsidRPr="003F3F73">
        <w:rPr>
          <w:b/>
          <w:bCs/>
        </w:rPr>
        <w:t>лапроксида</w:t>
      </w:r>
      <w:proofErr w:type="spellEnd"/>
      <w:r w:rsidRPr="003F3F73">
        <w:rPr>
          <w:b/>
          <w:bCs/>
        </w:rPr>
        <w:t xml:space="preserve"> Л-303 на </w:t>
      </w:r>
      <w:proofErr w:type="spellStart"/>
      <w:r w:rsidRPr="003F3F73">
        <w:rPr>
          <w:b/>
          <w:bCs/>
        </w:rPr>
        <w:t>глутамат</w:t>
      </w:r>
      <w:proofErr w:type="spellEnd"/>
      <w:r w:rsidRPr="003F3F73">
        <w:rPr>
          <w:b/>
          <w:bCs/>
        </w:rPr>
        <w:t xml:space="preserve"> / </w:t>
      </w:r>
      <w:proofErr w:type="spellStart"/>
      <w:r w:rsidRPr="003F3F73">
        <w:rPr>
          <w:b/>
          <w:bCs/>
        </w:rPr>
        <w:t>ГАМК-ергічну</w:t>
      </w:r>
      <w:proofErr w:type="spellEnd"/>
      <w:r w:rsidRPr="003F3F73">
        <w:rPr>
          <w:b/>
          <w:bCs/>
        </w:rPr>
        <w:t xml:space="preserve"> метаболічну систему в умовах </w:t>
      </w:r>
      <w:proofErr w:type="spellStart"/>
      <w:r w:rsidRPr="003F3F73">
        <w:rPr>
          <w:b/>
          <w:bCs/>
        </w:rPr>
        <w:t>підгострого</w:t>
      </w:r>
      <w:proofErr w:type="spellEnd"/>
      <w:r w:rsidRPr="003F3F73">
        <w:rPr>
          <w:b/>
          <w:bCs/>
        </w:rPr>
        <w:t xml:space="preserve"> експерименту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50"/>
        <w:gridCol w:w="1924"/>
        <w:gridCol w:w="1917"/>
        <w:gridCol w:w="1936"/>
        <w:gridCol w:w="1936"/>
      </w:tblGrid>
      <w:tr w:rsidR="004273B8" w:rsidRPr="003F3F73" w:rsidTr="007B097A">
        <w:trPr>
          <w:trHeight w:val="158"/>
        </w:trPr>
        <w:tc>
          <w:tcPr>
            <w:tcW w:w="1800" w:type="dxa"/>
            <w:vMerge w:val="restart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Група, ДЛ</w:t>
            </w:r>
            <w:r w:rsidRPr="0014572D">
              <w:rPr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3960" w:type="dxa"/>
            <w:gridSpan w:val="2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Печінка 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/ г тканини)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 xml:space="preserve">Головний мозок 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 /г тканини)</w:t>
            </w:r>
          </w:p>
        </w:tc>
      </w:tr>
      <w:tr w:rsidR="004273B8" w:rsidRPr="003F3F73" w:rsidTr="007B097A">
        <w:trPr>
          <w:trHeight w:val="157"/>
        </w:trPr>
        <w:tc>
          <w:tcPr>
            <w:tcW w:w="1800" w:type="dxa"/>
            <w:vMerge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Глутамат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ГАМК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Глутамат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ГАМК</w:t>
            </w:r>
          </w:p>
        </w:tc>
      </w:tr>
      <w:tr w:rsidR="004273B8" w:rsidRPr="003F3F73" w:rsidTr="007B097A">
        <w:tc>
          <w:tcPr>
            <w:tcW w:w="180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Контроль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0,92</w:t>
            </w:r>
            <w:r w:rsidRPr="0014572D">
              <w:rPr>
                <w:caps/>
                <w:sz w:val="20"/>
                <w:szCs w:val="20"/>
              </w:rPr>
              <w:t>±0,08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31,7</w:t>
            </w:r>
            <w:r w:rsidRPr="0014572D">
              <w:rPr>
                <w:caps/>
                <w:sz w:val="20"/>
                <w:szCs w:val="20"/>
              </w:rPr>
              <w:t>±2,14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2,72</w:t>
            </w:r>
            <w:r w:rsidRPr="0014572D">
              <w:rPr>
                <w:caps/>
                <w:sz w:val="20"/>
                <w:szCs w:val="20"/>
              </w:rPr>
              <w:t>±0,24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26,2</w:t>
            </w:r>
            <w:r w:rsidRPr="0014572D">
              <w:rPr>
                <w:caps/>
                <w:sz w:val="20"/>
                <w:szCs w:val="20"/>
              </w:rPr>
              <w:t>±2,4</w:t>
            </w:r>
          </w:p>
        </w:tc>
      </w:tr>
      <w:tr w:rsidR="004273B8" w:rsidRPr="003F3F73" w:rsidTr="007B097A">
        <w:tc>
          <w:tcPr>
            <w:tcW w:w="180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1,45</w:t>
            </w:r>
            <w:r w:rsidRPr="0014572D">
              <w:rPr>
                <w:caps/>
                <w:sz w:val="20"/>
                <w:szCs w:val="20"/>
              </w:rPr>
              <w:t>±0,16*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91,4</w:t>
            </w:r>
            <w:r w:rsidRPr="0014572D">
              <w:rPr>
                <w:caps/>
                <w:sz w:val="20"/>
                <w:szCs w:val="20"/>
              </w:rPr>
              <w:t>±5,8*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1,38</w:t>
            </w:r>
            <w:r w:rsidRPr="0014572D">
              <w:rPr>
                <w:caps/>
                <w:sz w:val="20"/>
                <w:szCs w:val="20"/>
              </w:rPr>
              <w:t>±0,12*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176,8</w:t>
            </w:r>
            <w:r w:rsidRPr="0014572D">
              <w:rPr>
                <w:caps/>
                <w:sz w:val="20"/>
                <w:szCs w:val="20"/>
              </w:rPr>
              <w:t>±7,3*</w:t>
            </w:r>
          </w:p>
        </w:tc>
      </w:tr>
      <w:tr w:rsidR="004273B8" w:rsidRPr="003F3F73" w:rsidTr="007B097A">
        <w:tc>
          <w:tcPr>
            <w:tcW w:w="180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1/1000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0,93</w:t>
            </w:r>
            <w:r w:rsidRPr="0014572D">
              <w:rPr>
                <w:caps/>
                <w:sz w:val="20"/>
                <w:szCs w:val="20"/>
              </w:rPr>
              <w:t>±0,09</w:t>
            </w:r>
          </w:p>
        </w:tc>
        <w:tc>
          <w:tcPr>
            <w:tcW w:w="198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32,5</w:t>
            </w:r>
            <w:r w:rsidRPr="0014572D">
              <w:rPr>
                <w:caps/>
                <w:sz w:val="20"/>
                <w:szCs w:val="20"/>
              </w:rPr>
              <w:t>±2,63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2,83</w:t>
            </w:r>
            <w:r w:rsidRPr="0014572D">
              <w:rPr>
                <w:caps/>
                <w:sz w:val="20"/>
                <w:szCs w:val="20"/>
              </w:rPr>
              <w:t>±0,34</w:t>
            </w:r>
          </w:p>
        </w:tc>
        <w:tc>
          <w:tcPr>
            <w:tcW w:w="1993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25,8</w:t>
            </w:r>
            <w:r w:rsidRPr="0014572D">
              <w:rPr>
                <w:caps/>
                <w:sz w:val="20"/>
                <w:szCs w:val="20"/>
              </w:rPr>
              <w:t>±2,7</w:t>
            </w:r>
          </w:p>
        </w:tc>
      </w:tr>
    </w:tbl>
    <w:p w:rsidR="004273B8" w:rsidRPr="003F3F73" w:rsidRDefault="004273B8" w:rsidP="004273B8">
      <w:pPr>
        <w:spacing w:line="360" w:lineRule="auto"/>
        <w:jc w:val="both"/>
      </w:pPr>
      <w:r w:rsidRPr="003F3F73">
        <w:t xml:space="preserve">Примітка: * - різниця </w:t>
      </w:r>
      <w:proofErr w:type="spellStart"/>
      <w:r w:rsidRPr="003F3F73">
        <w:t>вирогідна</w:t>
      </w:r>
      <w:proofErr w:type="spellEnd"/>
      <w:r w:rsidRPr="003F3F73">
        <w:t>, р&lt;0,05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Слід зазначити, що у плазмі крові визначалось зниження, як гальмівних </w:t>
      </w:r>
      <w:proofErr w:type="spellStart"/>
      <w:r w:rsidRPr="003F3F73">
        <w:t>нейромедіаторних</w:t>
      </w:r>
      <w:proofErr w:type="spellEnd"/>
      <w:r w:rsidRPr="003F3F73">
        <w:t xml:space="preserve"> амінокислот (гліцин, </w:t>
      </w:r>
      <w:proofErr w:type="spellStart"/>
      <w:r w:rsidRPr="003F3F73">
        <w:t>таурин</w:t>
      </w:r>
      <w:proofErr w:type="spellEnd"/>
      <w:r w:rsidRPr="003F3F73">
        <w:t>), так і збуджувальних (</w:t>
      </w:r>
      <w:proofErr w:type="spellStart"/>
      <w:r w:rsidRPr="003F3F73">
        <w:t>аспартат</w:t>
      </w:r>
      <w:proofErr w:type="spellEnd"/>
      <w:r w:rsidRPr="003F3F73">
        <w:t xml:space="preserve">, </w:t>
      </w:r>
      <w:proofErr w:type="spellStart"/>
      <w:r w:rsidRPr="003F3F73">
        <w:t>глутамат</w:t>
      </w:r>
      <w:proofErr w:type="spellEnd"/>
      <w:r w:rsidRPr="003F3F73">
        <w:t>) під впливом 1/100 ДЛ</w:t>
      </w:r>
      <w:r w:rsidRPr="003F3F73">
        <w:rPr>
          <w:vertAlign w:val="subscript"/>
        </w:rPr>
        <w:t>50</w:t>
      </w:r>
      <w:r w:rsidRPr="003F3F73">
        <w:t xml:space="preserve">, що може бути поєднано з підвищенням відновлювальних синтезів, спрямованих на підтримку гомеостазу в умовах </w:t>
      </w:r>
      <w:proofErr w:type="spellStart"/>
      <w:r w:rsidRPr="003F3F73">
        <w:t>токсифікації</w:t>
      </w:r>
      <w:proofErr w:type="spellEnd"/>
      <w:r w:rsidRPr="003F3F73">
        <w:t xml:space="preserve"> організму (табл. 4). Ці дані свідчать, що при </w:t>
      </w:r>
      <w:proofErr w:type="spellStart"/>
      <w:r w:rsidRPr="003F3F73">
        <w:t>субтоксичній</w:t>
      </w:r>
      <w:proofErr w:type="spellEnd"/>
      <w:r w:rsidRPr="003F3F73">
        <w:t xml:space="preserve"> дії </w:t>
      </w:r>
      <w:proofErr w:type="spellStart"/>
      <w:r w:rsidRPr="003F3F73">
        <w:t>лапроксидів</w:t>
      </w:r>
      <w:proofErr w:type="spellEnd"/>
      <w:r w:rsidRPr="003F3F73">
        <w:t xml:space="preserve"> на білих щурів, виникає глибока перебудова азотистого обміну, яка проявляється кількісними і якісними змінами </w:t>
      </w:r>
      <w:proofErr w:type="spellStart"/>
      <w:r w:rsidRPr="003F3F73">
        <w:t>пула</w:t>
      </w:r>
      <w:proofErr w:type="spellEnd"/>
      <w:r w:rsidRPr="003F3F73">
        <w:t xml:space="preserve"> вільних плазмових амінокислот.</w:t>
      </w:r>
    </w:p>
    <w:p w:rsidR="004273B8" w:rsidRPr="003F3F73" w:rsidRDefault="004273B8" w:rsidP="004273B8">
      <w:pPr>
        <w:spacing w:line="360" w:lineRule="auto"/>
        <w:ind w:firstLine="708"/>
        <w:jc w:val="right"/>
      </w:pPr>
      <w:r w:rsidRPr="003F3F73">
        <w:t>Таблиця 4.</w:t>
      </w:r>
    </w:p>
    <w:p w:rsidR="004273B8" w:rsidRPr="0014572D" w:rsidRDefault="004273B8" w:rsidP="004273B8">
      <w:pPr>
        <w:spacing w:line="360" w:lineRule="auto"/>
        <w:ind w:firstLine="708"/>
        <w:jc w:val="center"/>
        <w:rPr>
          <w:b/>
          <w:bCs/>
        </w:rPr>
      </w:pPr>
      <w:r w:rsidRPr="003F3F73">
        <w:rPr>
          <w:b/>
          <w:bCs/>
        </w:rPr>
        <w:t xml:space="preserve">Вміст збуджувальних і гальмівних амінокислот у плазмі крові білих щурів під впливом </w:t>
      </w:r>
      <w:proofErr w:type="spellStart"/>
      <w:r w:rsidRPr="003F3F73">
        <w:rPr>
          <w:b/>
          <w:bCs/>
        </w:rPr>
        <w:t>субтоксичної</w:t>
      </w:r>
      <w:proofErr w:type="spellEnd"/>
      <w:r w:rsidRPr="003F3F73">
        <w:rPr>
          <w:b/>
          <w:bCs/>
        </w:rPr>
        <w:t xml:space="preserve"> дози </w:t>
      </w:r>
      <w:proofErr w:type="spellStart"/>
      <w:r w:rsidRPr="003F3F73">
        <w:rPr>
          <w:b/>
          <w:bCs/>
        </w:rPr>
        <w:t>лапроксиду</w:t>
      </w:r>
      <w:proofErr w:type="spellEnd"/>
      <w:r w:rsidRPr="003F3F73">
        <w:rPr>
          <w:b/>
          <w:bCs/>
        </w:rPr>
        <w:t xml:space="preserve"> (</w:t>
      </w:r>
      <w:proofErr w:type="spellStart"/>
      <w:r w:rsidRPr="003F3F73">
        <w:rPr>
          <w:b/>
          <w:bCs/>
        </w:rPr>
        <w:t>нмоль</w:t>
      </w:r>
      <w:proofErr w:type="spellEnd"/>
      <w:r w:rsidRPr="003F3F73">
        <w:rPr>
          <w:b/>
          <w:bCs/>
        </w:rPr>
        <w:t xml:space="preserve"> / </w:t>
      </w:r>
      <w:proofErr w:type="spellStart"/>
      <w:r w:rsidRPr="003F3F73">
        <w:rPr>
          <w:b/>
          <w:bCs/>
        </w:rPr>
        <w:t>мл</w:t>
      </w:r>
      <w:proofErr w:type="spellEnd"/>
      <w:r w:rsidRPr="003F3F73">
        <w:rPr>
          <w:b/>
          <w:bCs/>
        </w:rPr>
        <w:t>)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33"/>
        <w:gridCol w:w="2443"/>
        <w:gridCol w:w="2619"/>
        <w:gridCol w:w="2468"/>
      </w:tblGrid>
      <w:tr w:rsidR="004273B8" w:rsidRPr="003F3F73" w:rsidTr="007B097A">
        <w:trPr>
          <w:trHeight w:val="158"/>
        </w:trPr>
        <w:tc>
          <w:tcPr>
            <w:tcW w:w="1980" w:type="dxa"/>
            <w:vMerge w:val="restart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Показники</w:t>
            </w:r>
          </w:p>
        </w:tc>
        <w:tc>
          <w:tcPr>
            <w:tcW w:w="7766" w:type="dxa"/>
            <w:gridSpan w:val="3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Група спостереження, ДЛ</w:t>
            </w:r>
            <w:r w:rsidRPr="0014572D">
              <w:rPr>
                <w:sz w:val="20"/>
                <w:szCs w:val="20"/>
                <w:vertAlign w:val="subscript"/>
              </w:rPr>
              <w:t>50</w:t>
            </w:r>
            <w:r w:rsidRPr="0014572D">
              <w:rPr>
                <w:sz w:val="20"/>
                <w:szCs w:val="20"/>
              </w:rPr>
              <w:t>, М</w:t>
            </w:r>
            <w:r w:rsidRPr="0014572D">
              <w:rPr>
                <w:caps/>
                <w:sz w:val="20"/>
                <w:szCs w:val="20"/>
              </w:rPr>
              <w:t>±</w:t>
            </w:r>
            <w:r w:rsidRPr="0014572D">
              <w:rPr>
                <w:sz w:val="20"/>
                <w:szCs w:val="20"/>
                <w:lang w:val="en-US"/>
              </w:rPr>
              <w:t>m</w:t>
            </w:r>
          </w:p>
        </w:tc>
      </w:tr>
      <w:tr w:rsidR="004273B8" w:rsidRPr="003F3F73" w:rsidTr="007B097A">
        <w:trPr>
          <w:trHeight w:val="157"/>
        </w:trPr>
        <w:tc>
          <w:tcPr>
            <w:tcW w:w="1980" w:type="dxa"/>
            <w:vMerge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Контроль</w:t>
            </w:r>
          </w:p>
        </w:tc>
        <w:tc>
          <w:tcPr>
            <w:tcW w:w="27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</w:t>
            </w:r>
          </w:p>
        </w:tc>
        <w:tc>
          <w:tcPr>
            <w:tcW w:w="25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1/1000</w:t>
            </w:r>
          </w:p>
        </w:tc>
      </w:tr>
      <w:tr w:rsidR="004273B8" w:rsidRPr="003F3F73" w:rsidTr="007B097A">
        <w:tc>
          <w:tcPr>
            <w:tcW w:w="198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Таурин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22,16</w:t>
            </w:r>
            <w:r w:rsidRPr="0014572D">
              <w:rPr>
                <w:caps/>
                <w:sz w:val="20"/>
                <w:szCs w:val="20"/>
              </w:rPr>
              <w:t>±1,57</w:t>
            </w:r>
          </w:p>
        </w:tc>
        <w:tc>
          <w:tcPr>
            <w:tcW w:w="27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13,75</w:t>
            </w:r>
            <w:r w:rsidRPr="0014572D">
              <w:rPr>
                <w:caps/>
                <w:sz w:val="20"/>
                <w:szCs w:val="20"/>
              </w:rPr>
              <w:t>±1,26*</w:t>
            </w:r>
          </w:p>
        </w:tc>
        <w:tc>
          <w:tcPr>
            <w:tcW w:w="25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23,27</w:t>
            </w:r>
            <w:r w:rsidRPr="0014572D">
              <w:rPr>
                <w:caps/>
                <w:sz w:val="20"/>
                <w:szCs w:val="20"/>
              </w:rPr>
              <w:t>±0,84</w:t>
            </w:r>
          </w:p>
        </w:tc>
      </w:tr>
      <w:tr w:rsidR="004273B8" w:rsidRPr="003F3F73" w:rsidTr="007B097A">
        <w:tc>
          <w:tcPr>
            <w:tcW w:w="198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Гліцин</w:t>
            </w:r>
          </w:p>
        </w:tc>
        <w:tc>
          <w:tcPr>
            <w:tcW w:w="252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49,54</w:t>
            </w:r>
            <w:r w:rsidRPr="0014572D">
              <w:rPr>
                <w:caps/>
                <w:sz w:val="20"/>
                <w:szCs w:val="20"/>
              </w:rPr>
              <w:t>±3,68</w:t>
            </w:r>
          </w:p>
        </w:tc>
        <w:tc>
          <w:tcPr>
            <w:tcW w:w="27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31,16</w:t>
            </w:r>
            <w:r w:rsidRPr="0014572D">
              <w:rPr>
                <w:caps/>
                <w:sz w:val="20"/>
                <w:szCs w:val="20"/>
              </w:rPr>
              <w:t>±2,58*</w:t>
            </w:r>
          </w:p>
        </w:tc>
        <w:tc>
          <w:tcPr>
            <w:tcW w:w="25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51,60</w:t>
            </w:r>
            <w:r w:rsidRPr="0014572D">
              <w:rPr>
                <w:caps/>
                <w:sz w:val="20"/>
                <w:szCs w:val="20"/>
              </w:rPr>
              <w:t>±4,25</w:t>
            </w:r>
          </w:p>
        </w:tc>
      </w:tr>
      <w:tr w:rsidR="004273B8" w:rsidRPr="003F3F73" w:rsidTr="007B097A">
        <w:tc>
          <w:tcPr>
            <w:tcW w:w="198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lastRenderedPageBreak/>
              <w:t>Аспартата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4,23</w:t>
            </w:r>
            <w:r w:rsidRPr="0014572D">
              <w:rPr>
                <w:caps/>
                <w:sz w:val="20"/>
                <w:szCs w:val="20"/>
              </w:rPr>
              <w:t>±0,43</w:t>
            </w:r>
          </w:p>
        </w:tc>
        <w:tc>
          <w:tcPr>
            <w:tcW w:w="27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2,38</w:t>
            </w:r>
            <w:r w:rsidRPr="0014572D">
              <w:rPr>
                <w:caps/>
                <w:sz w:val="20"/>
                <w:szCs w:val="20"/>
              </w:rPr>
              <w:t>±0,32*</w:t>
            </w:r>
          </w:p>
        </w:tc>
        <w:tc>
          <w:tcPr>
            <w:tcW w:w="25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4,47</w:t>
            </w:r>
            <w:r w:rsidRPr="0014572D">
              <w:rPr>
                <w:caps/>
                <w:sz w:val="20"/>
                <w:szCs w:val="20"/>
              </w:rPr>
              <w:t>±0,56</w:t>
            </w:r>
          </w:p>
        </w:tc>
      </w:tr>
      <w:tr w:rsidR="004273B8" w:rsidRPr="003F3F73" w:rsidTr="007B097A">
        <w:trPr>
          <w:trHeight w:val="70"/>
        </w:trPr>
        <w:tc>
          <w:tcPr>
            <w:tcW w:w="1980" w:type="dxa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Глутамат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15,10</w:t>
            </w:r>
            <w:r w:rsidRPr="0014572D">
              <w:rPr>
                <w:caps/>
                <w:sz w:val="20"/>
                <w:szCs w:val="20"/>
              </w:rPr>
              <w:t>±1,52</w:t>
            </w:r>
          </w:p>
        </w:tc>
        <w:tc>
          <w:tcPr>
            <w:tcW w:w="27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7,95</w:t>
            </w:r>
            <w:r w:rsidRPr="0014572D">
              <w:rPr>
                <w:caps/>
                <w:sz w:val="20"/>
                <w:szCs w:val="20"/>
              </w:rPr>
              <w:t>±0,83*</w:t>
            </w:r>
          </w:p>
        </w:tc>
        <w:tc>
          <w:tcPr>
            <w:tcW w:w="25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15,84</w:t>
            </w:r>
            <w:r w:rsidRPr="0014572D">
              <w:rPr>
                <w:caps/>
                <w:sz w:val="20"/>
                <w:szCs w:val="20"/>
              </w:rPr>
              <w:t>±1,63</w:t>
            </w:r>
          </w:p>
        </w:tc>
      </w:tr>
    </w:tbl>
    <w:p w:rsidR="004273B8" w:rsidRPr="003F3F73" w:rsidRDefault="004273B8" w:rsidP="004273B8">
      <w:pPr>
        <w:spacing w:line="360" w:lineRule="auto"/>
        <w:jc w:val="both"/>
      </w:pPr>
      <w:r w:rsidRPr="003F3F73">
        <w:t xml:space="preserve">Примітка: * - різниця </w:t>
      </w:r>
      <w:proofErr w:type="spellStart"/>
      <w:r w:rsidRPr="003F3F73">
        <w:t>вирогідна</w:t>
      </w:r>
      <w:proofErr w:type="spellEnd"/>
      <w:r w:rsidRPr="003F3F73">
        <w:t>, р&lt;0,05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  <w:t xml:space="preserve">Аналіз параметрів рецепторного зв’язування виявив, що </w:t>
      </w:r>
      <w:proofErr w:type="spellStart"/>
      <w:r w:rsidRPr="003F3F73">
        <w:t>Лапроксид</w:t>
      </w:r>
      <w:proofErr w:type="spellEnd"/>
      <w:r w:rsidRPr="003F3F73">
        <w:t xml:space="preserve"> Л-303 знижував спорідненість α</w:t>
      </w:r>
      <w:r w:rsidRPr="003F3F73">
        <w:rPr>
          <w:vertAlign w:val="subscript"/>
        </w:rPr>
        <w:t>1</w:t>
      </w:r>
      <w:r w:rsidRPr="003F3F73">
        <w:t xml:space="preserve">-адренорецепторів до лігандів, як у печінці, так і у головному мозку в порівняння з групою контролю (табл. 5). Подібна динаміка спостерігалась і для  </w:t>
      </w:r>
      <w:proofErr w:type="spellStart"/>
      <w:r w:rsidRPr="003F3F73">
        <w:t>β-адренорецепторів</w:t>
      </w:r>
      <w:proofErr w:type="spellEnd"/>
      <w:r w:rsidRPr="003F3F73">
        <w:t xml:space="preserve">. Вплив </w:t>
      </w:r>
      <w:proofErr w:type="spellStart"/>
      <w:r w:rsidRPr="003F3F73">
        <w:t>Лапроксиду</w:t>
      </w:r>
      <w:proofErr w:type="spellEnd"/>
      <w:r w:rsidRPr="003F3F73">
        <w:t xml:space="preserve"> Л-303 на α</w:t>
      </w:r>
      <w:r w:rsidRPr="003F3F73">
        <w:rPr>
          <w:vertAlign w:val="subscript"/>
        </w:rPr>
        <w:t>2</w:t>
      </w:r>
      <w:r w:rsidRPr="003F3F73">
        <w:t xml:space="preserve">-адренорецептори проявлявся в зниженні рівноважної константи дисоціації та підвищенні кількості місць зв’язування </w:t>
      </w:r>
      <w:proofErr w:type="spellStart"/>
      <w:r w:rsidRPr="003F3F73">
        <w:t>радіоліганда</w:t>
      </w:r>
      <w:proofErr w:type="spellEnd"/>
      <w:r w:rsidRPr="003F3F73">
        <w:t xml:space="preserve">, що вказує на зростання його спорідненості до даного типу рецепторів у продовгуватому мозку. Дослідження свідчать, що </w:t>
      </w:r>
      <w:proofErr w:type="spellStart"/>
      <w:r w:rsidRPr="003F3F73">
        <w:t>ксенобіотик</w:t>
      </w:r>
      <w:proofErr w:type="spellEnd"/>
      <w:r w:rsidRPr="003F3F73">
        <w:t xml:space="preserve"> по різному впливає на спорідненість і місця зв’язування </w:t>
      </w:r>
      <w:proofErr w:type="spellStart"/>
      <w:r w:rsidRPr="003F3F73">
        <w:t>радіолігандів</w:t>
      </w:r>
      <w:proofErr w:type="spellEnd"/>
      <w:r w:rsidRPr="003F3F73">
        <w:t xml:space="preserve"> до  α</w:t>
      </w:r>
      <w:r w:rsidRPr="003F3F73">
        <w:rPr>
          <w:vertAlign w:val="subscript"/>
        </w:rPr>
        <w:t>1</w:t>
      </w:r>
      <w:r w:rsidRPr="003F3F73">
        <w:t>- і α</w:t>
      </w:r>
      <w:r w:rsidRPr="003F3F73">
        <w:rPr>
          <w:vertAlign w:val="subscript"/>
        </w:rPr>
        <w:t>2</w:t>
      </w:r>
      <w:r w:rsidRPr="003F3F73">
        <w:t xml:space="preserve">-адренорецепторів. </w:t>
      </w:r>
    </w:p>
    <w:p w:rsidR="004273B8" w:rsidRPr="003F3F73" w:rsidRDefault="004273B8" w:rsidP="004273B8">
      <w:pPr>
        <w:spacing w:line="360" w:lineRule="auto"/>
        <w:jc w:val="right"/>
      </w:pPr>
      <w:r w:rsidRPr="003F3F73">
        <w:t>Таблиця 5.</w:t>
      </w:r>
    </w:p>
    <w:p w:rsidR="004273B8" w:rsidRPr="003F3F73" w:rsidRDefault="004273B8" w:rsidP="004273B8">
      <w:pPr>
        <w:spacing w:line="360" w:lineRule="auto"/>
        <w:jc w:val="center"/>
        <w:rPr>
          <w:b/>
          <w:bCs/>
        </w:rPr>
      </w:pPr>
      <w:r w:rsidRPr="003F3F73">
        <w:rPr>
          <w:b/>
          <w:bCs/>
        </w:rPr>
        <w:t xml:space="preserve">Вплив </w:t>
      </w:r>
      <w:proofErr w:type="spellStart"/>
      <w:r w:rsidRPr="003F3F73">
        <w:rPr>
          <w:b/>
          <w:bCs/>
        </w:rPr>
        <w:t>лапроксида</w:t>
      </w:r>
      <w:proofErr w:type="spellEnd"/>
      <w:r w:rsidRPr="003F3F73">
        <w:rPr>
          <w:b/>
          <w:bCs/>
        </w:rPr>
        <w:t xml:space="preserve"> Л-303 на параметри рецепторного зв’язування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24"/>
        <w:gridCol w:w="862"/>
        <w:gridCol w:w="873"/>
        <w:gridCol w:w="1746"/>
        <w:gridCol w:w="1762"/>
        <w:gridCol w:w="1604"/>
      </w:tblGrid>
      <w:tr w:rsidR="004273B8" w:rsidRPr="003F3F73" w:rsidTr="007B097A">
        <w:trPr>
          <w:trHeight w:val="158"/>
        </w:trPr>
        <w:tc>
          <w:tcPr>
            <w:tcW w:w="4608" w:type="dxa"/>
            <w:gridSpan w:val="3"/>
            <w:vMerge w:val="restart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Показники, об’єкти дослідження</w:t>
            </w:r>
          </w:p>
        </w:tc>
        <w:tc>
          <w:tcPr>
            <w:tcW w:w="5246" w:type="dxa"/>
            <w:gridSpan w:val="3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Група, ДЛ</w:t>
            </w:r>
            <w:r w:rsidRPr="0014572D">
              <w:rPr>
                <w:sz w:val="20"/>
                <w:szCs w:val="20"/>
                <w:vertAlign w:val="subscript"/>
              </w:rPr>
              <w:t>50</w:t>
            </w:r>
            <w:r w:rsidRPr="0014572D">
              <w:rPr>
                <w:sz w:val="20"/>
                <w:szCs w:val="20"/>
              </w:rPr>
              <w:t>, М</w:t>
            </w:r>
            <w:r w:rsidRPr="0014572D">
              <w:rPr>
                <w:caps/>
                <w:sz w:val="20"/>
                <w:szCs w:val="20"/>
              </w:rPr>
              <w:t>±</w:t>
            </w:r>
            <w:r w:rsidRPr="0014572D">
              <w:rPr>
                <w:sz w:val="20"/>
                <w:szCs w:val="20"/>
                <w:lang w:val="en-US"/>
              </w:rPr>
              <w:t>m</w:t>
            </w:r>
          </w:p>
        </w:tc>
      </w:tr>
      <w:tr w:rsidR="004273B8" w:rsidRPr="003F3F73" w:rsidTr="007B097A">
        <w:trPr>
          <w:trHeight w:val="157"/>
        </w:trPr>
        <w:tc>
          <w:tcPr>
            <w:tcW w:w="4608" w:type="dxa"/>
            <w:gridSpan w:val="3"/>
            <w:vMerge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Контроль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1/1000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Адренорецептори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, В </w:t>
            </w:r>
            <w:r w:rsidRPr="0014572D">
              <w:rPr>
                <w:sz w:val="20"/>
                <w:szCs w:val="20"/>
                <w:lang w:val="en-US"/>
              </w:rPr>
              <w:t>max</w:t>
            </w:r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білка), кора головного мозку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14572D">
              <w:rPr>
                <w:sz w:val="20"/>
                <w:szCs w:val="20"/>
              </w:rPr>
              <w:t>α</w:t>
            </w:r>
            <w:r w:rsidRPr="0014572D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  <w:lang w:val="en-US"/>
              </w:rPr>
              <w:t>2</w:t>
            </w:r>
            <w:r w:rsidRPr="0014572D">
              <w:rPr>
                <w:sz w:val="20"/>
                <w:szCs w:val="20"/>
              </w:rPr>
              <w:t>,</w:t>
            </w:r>
            <w:r w:rsidRPr="0014572D">
              <w:rPr>
                <w:sz w:val="20"/>
                <w:szCs w:val="20"/>
                <w:lang w:val="en-US"/>
              </w:rPr>
              <w:t>78</w:t>
            </w:r>
            <w:r w:rsidRPr="0014572D">
              <w:rPr>
                <w:caps/>
                <w:sz w:val="20"/>
                <w:szCs w:val="20"/>
              </w:rPr>
              <w:t>±</w:t>
            </w:r>
            <w:r w:rsidRPr="0014572D">
              <w:rPr>
                <w:caps/>
                <w:sz w:val="20"/>
                <w:szCs w:val="20"/>
                <w:lang w:val="en-US"/>
              </w:rPr>
              <w:t>0</w:t>
            </w:r>
            <w:r w:rsidRPr="0014572D">
              <w:rPr>
                <w:caps/>
                <w:sz w:val="20"/>
                <w:szCs w:val="20"/>
              </w:rPr>
              <w:t>,</w:t>
            </w:r>
            <w:r w:rsidRPr="0014572D">
              <w:rPr>
                <w:caps/>
                <w:sz w:val="20"/>
                <w:szCs w:val="20"/>
                <w:lang w:val="en-US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39,5</w:t>
            </w:r>
            <w:r w:rsidRPr="0014572D">
              <w:rPr>
                <w:caps/>
                <w:sz w:val="20"/>
                <w:szCs w:val="20"/>
              </w:rPr>
              <w:t>±1,7*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2,62</w:t>
            </w:r>
            <w:r w:rsidRPr="0014572D">
              <w:rPr>
                <w:caps/>
                <w:sz w:val="20"/>
                <w:szCs w:val="20"/>
              </w:rPr>
              <w:t>±0,17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  <w:lang w:val="en-US"/>
              </w:rPr>
              <w:t>0</w:t>
            </w:r>
            <w:r w:rsidRPr="0014572D">
              <w:rPr>
                <w:sz w:val="20"/>
                <w:szCs w:val="20"/>
              </w:rPr>
              <w:t>,</w:t>
            </w:r>
            <w:r w:rsidRPr="0014572D">
              <w:rPr>
                <w:sz w:val="20"/>
                <w:szCs w:val="20"/>
                <w:lang w:val="en-US"/>
              </w:rPr>
              <w:t>64</w:t>
            </w:r>
            <w:r w:rsidRPr="0014572D">
              <w:rPr>
                <w:caps/>
                <w:sz w:val="20"/>
                <w:szCs w:val="20"/>
              </w:rPr>
              <w:t>±0,05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1,4</w:t>
            </w:r>
            <w:r w:rsidRPr="0014572D">
              <w:rPr>
                <w:caps/>
                <w:sz w:val="20"/>
                <w:szCs w:val="20"/>
              </w:rPr>
              <w:t>±0,12*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0,67</w:t>
            </w:r>
            <w:r w:rsidRPr="0014572D">
              <w:rPr>
                <w:caps/>
                <w:sz w:val="20"/>
                <w:szCs w:val="20"/>
              </w:rPr>
              <w:t>±0,06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β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1,7</w:t>
            </w:r>
            <w:r w:rsidRPr="0014572D">
              <w:rPr>
                <w:caps/>
                <w:sz w:val="20"/>
                <w:szCs w:val="20"/>
              </w:rPr>
              <w:t>±0,08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24,3</w:t>
            </w:r>
            <w:r w:rsidRPr="0014572D">
              <w:rPr>
                <w:caps/>
                <w:sz w:val="20"/>
                <w:szCs w:val="20"/>
              </w:rPr>
              <w:t>±1,5*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1,73</w:t>
            </w:r>
            <w:r w:rsidRPr="0014572D">
              <w:rPr>
                <w:caps/>
                <w:sz w:val="20"/>
                <w:szCs w:val="20"/>
              </w:rPr>
              <w:t>±0,12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0,21</w:t>
            </w:r>
            <w:r w:rsidRPr="0014572D">
              <w:rPr>
                <w:caps/>
                <w:sz w:val="20"/>
                <w:szCs w:val="20"/>
              </w:rPr>
              <w:t>±0,014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1,45</w:t>
            </w:r>
            <w:r w:rsidRPr="0014572D">
              <w:rPr>
                <w:caps/>
                <w:sz w:val="20"/>
                <w:szCs w:val="20"/>
              </w:rPr>
              <w:t>±0,27*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0,24</w:t>
            </w:r>
            <w:r w:rsidRPr="0014572D">
              <w:rPr>
                <w:caps/>
                <w:sz w:val="20"/>
                <w:szCs w:val="20"/>
              </w:rPr>
              <w:t>±0,06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Адренорецептори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, В </w:t>
            </w:r>
            <w:r w:rsidRPr="0014572D">
              <w:rPr>
                <w:sz w:val="20"/>
                <w:szCs w:val="20"/>
                <w:lang w:val="en-US"/>
              </w:rPr>
              <w:t>max</w:t>
            </w:r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білка), печінка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14572D">
              <w:rPr>
                <w:sz w:val="20"/>
                <w:szCs w:val="20"/>
              </w:rPr>
              <w:t>α</w:t>
            </w:r>
            <w:r w:rsidRPr="0014572D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7,0</w:t>
            </w:r>
            <w:r w:rsidRPr="0014572D">
              <w:rPr>
                <w:caps/>
                <w:sz w:val="20"/>
                <w:szCs w:val="20"/>
              </w:rPr>
              <w:t>±0,65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68,2</w:t>
            </w:r>
            <w:r w:rsidRPr="0014572D">
              <w:rPr>
                <w:caps/>
                <w:sz w:val="20"/>
                <w:szCs w:val="20"/>
              </w:rPr>
              <w:t>±3,4*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7,15</w:t>
            </w:r>
            <w:r w:rsidRPr="0014572D">
              <w:rPr>
                <w:caps/>
                <w:sz w:val="20"/>
                <w:szCs w:val="20"/>
              </w:rPr>
              <w:t>±0,74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0,58</w:t>
            </w:r>
            <w:r w:rsidRPr="0014572D">
              <w:rPr>
                <w:caps/>
                <w:sz w:val="20"/>
                <w:szCs w:val="20"/>
              </w:rPr>
              <w:t>±0,06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1,3</w:t>
            </w:r>
            <w:r w:rsidRPr="0014572D">
              <w:rPr>
                <w:caps/>
                <w:sz w:val="20"/>
                <w:szCs w:val="20"/>
              </w:rPr>
              <w:t>±0,14*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0,61</w:t>
            </w:r>
            <w:r w:rsidRPr="0014572D">
              <w:rPr>
                <w:caps/>
                <w:sz w:val="20"/>
                <w:szCs w:val="20"/>
              </w:rPr>
              <w:t>±0,07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β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4,2</w:t>
            </w:r>
            <w:r w:rsidRPr="0014572D">
              <w:rPr>
                <w:caps/>
                <w:sz w:val="20"/>
                <w:szCs w:val="20"/>
              </w:rPr>
              <w:t>±0,35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40,2</w:t>
            </w:r>
            <w:r w:rsidRPr="0014572D">
              <w:rPr>
                <w:caps/>
                <w:sz w:val="20"/>
                <w:szCs w:val="20"/>
              </w:rPr>
              <w:t>±1,6*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4,3</w:t>
            </w:r>
            <w:r w:rsidRPr="0014572D">
              <w:rPr>
                <w:caps/>
                <w:sz w:val="20"/>
                <w:szCs w:val="20"/>
              </w:rPr>
              <w:t>±0,28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0,26</w:t>
            </w:r>
            <w:r w:rsidRPr="0014572D">
              <w:rPr>
                <w:caps/>
                <w:sz w:val="20"/>
                <w:szCs w:val="20"/>
              </w:rPr>
              <w:t>±0,03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0,68</w:t>
            </w:r>
            <w:r w:rsidRPr="0014572D">
              <w:rPr>
                <w:caps/>
                <w:sz w:val="20"/>
                <w:szCs w:val="20"/>
              </w:rPr>
              <w:t>±0,07*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0,28</w:t>
            </w:r>
            <w:r w:rsidRPr="0014572D">
              <w:rPr>
                <w:caps/>
                <w:sz w:val="20"/>
                <w:szCs w:val="20"/>
              </w:rPr>
              <w:t>±0,04</w:t>
            </w:r>
          </w:p>
        </w:tc>
      </w:tr>
      <w:tr w:rsidR="004273B8" w:rsidRPr="003F3F73" w:rsidTr="007B097A">
        <w:trPr>
          <w:trHeight w:val="280"/>
        </w:trPr>
        <w:tc>
          <w:tcPr>
            <w:tcW w:w="28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Адренорецептори</w:t>
            </w:r>
            <w:proofErr w:type="spellEnd"/>
            <w:r w:rsidRPr="0014572D">
              <w:rPr>
                <w:sz w:val="20"/>
                <w:szCs w:val="20"/>
              </w:rPr>
              <w:t xml:space="preserve"> 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, В </w:t>
            </w:r>
            <w:r w:rsidRPr="0014572D">
              <w:rPr>
                <w:sz w:val="20"/>
                <w:szCs w:val="20"/>
                <w:lang w:val="en-US"/>
              </w:rPr>
              <w:t>max</w:t>
            </w:r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білка), продовгуватий мозок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</w:rPr>
            </w:pPr>
            <w:r w:rsidRPr="0014572D">
              <w:rPr>
                <w:sz w:val="20"/>
                <w:szCs w:val="20"/>
              </w:rPr>
              <w:t>α</w:t>
            </w:r>
            <w:r w:rsidRPr="0014572D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6,3</w:t>
            </w:r>
            <w:r w:rsidRPr="0014572D">
              <w:rPr>
                <w:caps/>
                <w:sz w:val="20"/>
                <w:szCs w:val="20"/>
              </w:rPr>
              <w:t>±0,27</w:t>
            </w: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3,8</w:t>
            </w:r>
            <w:r w:rsidRPr="0014572D">
              <w:rPr>
                <w:caps/>
                <w:sz w:val="20"/>
                <w:szCs w:val="20"/>
              </w:rPr>
              <w:t>±0,24*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6,4</w:t>
            </w:r>
            <w:r w:rsidRPr="0014572D">
              <w:rPr>
                <w:caps/>
                <w:sz w:val="20"/>
                <w:szCs w:val="20"/>
              </w:rPr>
              <w:t>±0,35</w:t>
            </w:r>
          </w:p>
        </w:tc>
      </w:tr>
      <w:tr w:rsidR="004273B8" w:rsidRPr="003F3F73" w:rsidTr="007B097A">
        <w:trPr>
          <w:trHeight w:val="280"/>
        </w:trPr>
        <w:tc>
          <w:tcPr>
            <w:tcW w:w="28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0,06</w:t>
            </w:r>
            <w:r w:rsidRPr="0014572D">
              <w:rPr>
                <w:caps/>
                <w:sz w:val="20"/>
                <w:szCs w:val="20"/>
              </w:rPr>
              <w:t>±0,003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0,45</w:t>
            </w:r>
            <w:r w:rsidRPr="0014572D">
              <w:rPr>
                <w:caps/>
                <w:sz w:val="20"/>
                <w:szCs w:val="20"/>
              </w:rPr>
              <w:t>±0,03*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0,07</w:t>
            </w:r>
            <w:r w:rsidRPr="0014572D">
              <w:rPr>
                <w:caps/>
                <w:sz w:val="20"/>
                <w:szCs w:val="20"/>
              </w:rPr>
              <w:t>±0,004</w:t>
            </w:r>
          </w:p>
        </w:tc>
      </w:tr>
      <w:tr w:rsidR="004273B8" w:rsidRPr="003F3F73" w:rsidTr="007B097A">
        <w:trPr>
          <w:trHeight w:val="555"/>
        </w:trPr>
        <w:tc>
          <w:tcPr>
            <w:tcW w:w="2808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Дофамінові</w:t>
            </w:r>
            <w:proofErr w:type="spellEnd"/>
            <w:r w:rsidRPr="0014572D">
              <w:rPr>
                <w:sz w:val="20"/>
                <w:szCs w:val="20"/>
              </w:rPr>
              <w:t xml:space="preserve"> рецептори 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, В </w:t>
            </w:r>
            <w:r w:rsidRPr="0014572D">
              <w:rPr>
                <w:sz w:val="20"/>
                <w:szCs w:val="20"/>
                <w:lang w:val="en-US"/>
              </w:rPr>
              <w:t>max</w:t>
            </w:r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білка), кора головного мозку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14572D">
              <w:rPr>
                <w:sz w:val="20"/>
                <w:szCs w:val="20"/>
                <w:lang w:val="en-US"/>
              </w:rPr>
              <w:t>D</w:t>
            </w:r>
            <w:r w:rsidRPr="0014572D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0,38</w:t>
            </w:r>
            <w:r w:rsidRPr="0014572D">
              <w:rPr>
                <w:caps/>
                <w:sz w:val="20"/>
                <w:szCs w:val="20"/>
              </w:rPr>
              <w:t>±0,016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0,23</w:t>
            </w:r>
            <w:r w:rsidRPr="0014572D">
              <w:rPr>
                <w:caps/>
                <w:sz w:val="20"/>
                <w:szCs w:val="20"/>
              </w:rPr>
              <w:t>±0,009*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0,42</w:t>
            </w:r>
            <w:r w:rsidRPr="0014572D">
              <w:rPr>
                <w:caps/>
                <w:sz w:val="20"/>
                <w:szCs w:val="20"/>
              </w:rPr>
              <w:t>±0,017</w:t>
            </w:r>
          </w:p>
        </w:tc>
      </w:tr>
      <w:tr w:rsidR="004273B8" w:rsidRPr="003F3F73" w:rsidTr="007B097A">
        <w:trPr>
          <w:trHeight w:val="55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81,4</w:t>
            </w:r>
            <w:r w:rsidRPr="0014572D">
              <w:rPr>
                <w:caps/>
                <w:sz w:val="20"/>
                <w:szCs w:val="20"/>
              </w:rPr>
              <w:t>±3,5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56,1</w:t>
            </w:r>
            <w:r w:rsidRPr="0014572D">
              <w:rPr>
                <w:caps/>
                <w:sz w:val="20"/>
                <w:szCs w:val="20"/>
              </w:rPr>
              <w:t>±2,7*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82,7</w:t>
            </w:r>
            <w:r w:rsidRPr="0014572D">
              <w:rPr>
                <w:caps/>
                <w:sz w:val="20"/>
                <w:szCs w:val="20"/>
              </w:rPr>
              <w:t>±4,6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Серотонінові рецептори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нмоль</w:t>
            </w:r>
            <w:proofErr w:type="spellEnd"/>
            <w:r w:rsidRPr="0014572D">
              <w:rPr>
                <w:sz w:val="20"/>
                <w:szCs w:val="20"/>
              </w:rPr>
              <w:t xml:space="preserve">, В </w:t>
            </w:r>
            <w:r w:rsidRPr="0014572D">
              <w:rPr>
                <w:sz w:val="20"/>
                <w:szCs w:val="20"/>
                <w:lang w:val="en-US"/>
              </w:rPr>
              <w:t>max</w:t>
            </w:r>
            <w:r w:rsidRPr="0014572D">
              <w:rPr>
                <w:sz w:val="20"/>
                <w:szCs w:val="20"/>
              </w:rPr>
              <w:t xml:space="preserve"> – 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білка), кора головного мозку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14572D">
              <w:rPr>
                <w:sz w:val="20"/>
                <w:szCs w:val="20"/>
                <w:lang w:val="en-US"/>
              </w:rPr>
              <w:t>C</w:t>
            </w:r>
            <w:r w:rsidRPr="0014572D">
              <w:rPr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1,83</w:t>
            </w:r>
            <w:r w:rsidRPr="0014572D">
              <w:rPr>
                <w:caps/>
                <w:sz w:val="20"/>
                <w:szCs w:val="20"/>
              </w:rPr>
              <w:t>±0,09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1,4</w:t>
            </w:r>
            <w:r w:rsidRPr="0014572D">
              <w:rPr>
                <w:caps/>
                <w:sz w:val="20"/>
                <w:szCs w:val="20"/>
              </w:rPr>
              <w:t>±0,08*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1,94</w:t>
            </w:r>
            <w:r w:rsidRPr="0014572D">
              <w:rPr>
                <w:caps/>
                <w:sz w:val="20"/>
                <w:szCs w:val="20"/>
              </w:rPr>
              <w:t>±0,13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279,4</w:t>
            </w:r>
            <w:r w:rsidRPr="0014572D">
              <w:rPr>
                <w:caps/>
                <w:sz w:val="20"/>
                <w:szCs w:val="20"/>
              </w:rPr>
              <w:t>±6,2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217,3</w:t>
            </w:r>
            <w:r w:rsidRPr="0014572D">
              <w:rPr>
                <w:caps/>
                <w:sz w:val="20"/>
                <w:szCs w:val="20"/>
              </w:rPr>
              <w:t>±6,1*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281,5</w:t>
            </w:r>
            <w:r w:rsidRPr="0014572D">
              <w:rPr>
                <w:caps/>
                <w:sz w:val="20"/>
                <w:szCs w:val="20"/>
              </w:rPr>
              <w:t>±7,6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r w:rsidRPr="0014572D">
              <w:rPr>
                <w:sz w:val="20"/>
                <w:szCs w:val="20"/>
                <w:lang w:val="en-US"/>
              </w:rPr>
              <w:t>C</w:t>
            </w:r>
            <w:r w:rsidRPr="0014572D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Кд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0,46</w:t>
            </w:r>
            <w:r w:rsidRPr="0014572D">
              <w:rPr>
                <w:caps/>
                <w:sz w:val="20"/>
                <w:szCs w:val="20"/>
              </w:rPr>
              <w:t>±0,012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0,17</w:t>
            </w:r>
            <w:r w:rsidRPr="0014572D">
              <w:rPr>
                <w:caps/>
                <w:sz w:val="20"/>
                <w:szCs w:val="20"/>
              </w:rPr>
              <w:t>±0,005*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0,45</w:t>
            </w:r>
            <w:r w:rsidRPr="0014572D">
              <w:rPr>
                <w:caps/>
                <w:sz w:val="20"/>
                <w:szCs w:val="20"/>
              </w:rPr>
              <w:t>±0,07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14572D">
              <w:rPr>
                <w:sz w:val="20"/>
                <w:szCs w:val="20"/>
              </w:rPr>
              <w:t>В</w:t>
            </w:r>
            <w:r w:rsidRPr="0014572D">
              <w:rPr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30,7</w:t>
            </w:r>
            <w:r w:rsidRPr="0014572D">
              <w:rPr>
                <w:caps/>
                <w:sz w:val="20"/>
                <w:szCs w:val="20"/>
              </w:rPr>
              <w:t>±1,6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17,3</w:t>
            </w:r>
            <w:r w:rsidRPr="0014572D">
              <w:rPr>
                <w:caps/>
                <w:sz w:val="20"/>
                <w:szCs w:val="20"/>
              </w:rPr>
              <w:t>±1,65*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28,6</w:t>
            </w:r>
            <w:r w:rsidRPr="0014572D">
              <w:rPr>
                <w:caps/>
                <w:sz w:val="20"/>
                <w:szCs w:val="20"/>
              </w:rPr>
              <w:t>±1,73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 w:val="restart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14572D">
              <w:rPr>
                <w:sz w:val="20"/>
                <w:szCs w:val="20"/>
              </w:rPr>
              <w:t>Глюкокортикоїдні</w:t>
            </w:r>
            <w:proofErr w:type="spellEnd"/>
            <w:r w:rsidRPr="0014572D">
              <w:rPr>
                <w:sz w:val="20"/>
                <w:szCs w:val="20"/>
              </w:rPr>
              <w:t xml:space="preserve"> рецептори другого типу </w:t>
            </w:r>
          </w:p>
          <w:p w:rsidR="004273B8" w:rsidRPr="0014572D" w:rsidRDefault="004273B8" w:rsidP="007B097A">
            <w:pPr>
              <w:spacing w:line="360" w:lineRule="auto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(</w:t>
            </w:r>
            <w:proofErr w:type="spellStart"/>
            <w:r w:rsidRPr="0014572D">
              <w:rPr>
                <w:sz w:val="20"/>
                <w:szCs w:val="20"/>
              </w:rPr>
              <w:t>фмоль</w:t>
            </w:r>
            <w:proofErr w:type="spellEnd"/>
            <w:r w:rsidRPr="0014572D">
              <w:rPr>
                <w:sz w:val="20"/>
                <w:szCs w:val="20"/>
              </w:rPr>
              <w:t xml:space="preserve"> /мг білка)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Печінка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465,4</w:t>
            </w:r>
            <w:r w:rsidRPr="0014572D">
              <w:rPr>
                <w:caps/>
                <w:sz w:val="20"/>
                <w:szCs w:val="20"/>
              </w:rPr>
              <w:t>±8,3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775,6</w:t>
            </w:r>
            <w:r w:rsidRPr="0014572D">
              <w:rPr>
                <w:caps/>
                <w:sz w:val="20"/>
                <w:szCs w:val="20"/>
              </w:rPr>
              <w:t>±14,8*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472,3</w:t>
            </w:r>
            <w:r w:rsidRPr="0014572D">
              <w:rPr>
                <w:caps/>
                <w:sz w:val="20"/>
                <w:szCs w:val="20"/>
              </w:rPr>
              <w:t>±9,2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Мозочок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487,6</w:t>
            </w:r>
            <w:r w:rsidRPr="0014572D">
              <w:rPr>
                <w:caps/>
                <w:sz w:val="20"/>
                <w:szCs w:val="20"/>
              </w:rPr>
              <w:t>±11,5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910,3</w:t>
            </w:r>
            <w:r w:rsidRPr="0014572D">
              <w:rPr>
                <w:caps/>
                <w:sz w:val="20"/>
                <w:szCs w:val="20"/>
              </w:rPr>
              <w:t>±17,2*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494,6</w:t>
            </w:r>
            <w:r w:rsidRPr="0014572D">
              <w:rPr>
                <w:caps/>
                <w:sz w:val="20"/>
                <w:szCs w:val="20"/>
              </w:rPr>
              <w:t>±12,8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Стовбур мозку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920,3</w:t>
            </w:r>
            <w:r w:rsidRPr="0014572D">
              <w:rPr>
                <w:caps/>
                <w:sz w:val="20"/>
                <w:szCs w:val="20"/>
              </w:rPr>
              <w:t>±42,4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1795,4</w:t>
            </w:r>
            <w:r w:rsidRPr="0014572D">
              <w:rPr>
                <w:caps/>
                <w:sz w:val="20"/>
                <w:szCs w:val="20"/>
              </w:rPr>
              <w:t>±72,3*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935,3</w:t>
            </w:r>
            <w:r w:rsidRPr="0014572D">
              <w:rPr>
                <w:caps/>
                <w:sz w:val="20"/>
                <w:szCs w:val="20"/>
              </w:rPr>
              <w:t>±16,4</w:t>
            </w:r>
          </w:p>
        </w:tc>
      </w:tr>
      <w:tr w:rsidR="004273B8" w:rsidRPr="003F3F73" w:rsidTr="007B097A">
        <w:trPr>
          <w:trHeight w:val="135"/>
        </w:trPr>
        <w:tc>
          <w:tcPr>
            <w:tcW w:w="2808" w:type="dxa"/>
            <w:vMerge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Кора мозку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365,4</w:t>
            </w:r>
            <w:r w:rsidRPr="0014572D">
              <w:rPr>
                <w:caps/>
                <w:sz w:val="20"/>
                <w:szCs w:val="20"/>
              </w:rPr>
              <w:t>±18,7</w:t>
            </w:r>
          </w:p>
        </w:tc>
        <w:tc>
          <w:tcPr>
            <w:tcW w:w="1800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840,6</w:t>
            </w:r>
            <w:r w:rsidRPr="0014572D">
              <w:rPr>
                <w:caps/>
                <w:sz w:val="20"/>
                <w:szCs w:val="20"/>
              </w:rPr>
              <w:t>±16,5*</w:t>
            </w:r>
          </w:p>
        </w:tc>
        <w:tc>
          <w:tcPr>
            <w:tcW w:w="1646" w:type="dxa"/>
            <w:shd w:val="clear" w:color="auto" w:fill="auto"/>
          </w:tcPr>
          <w:p w:rsidR="004273B8" w:rsidRPr="0014572D" w:rsidRDefault="004273B8" w:rsidP="007B09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72D">
              <w:rPr>
                <w:sz w:val="20"/>
                <w:szCs w:val="20"/>
              </w:rPr>
              <w:t>358,2</w:t>
            </w:r>
            <w:r w:rsidRPr="0014572D">
              <w:rPr>
                <w:caps/>
                <w:sz w:val="20"/>
                <w:szCs w:val="20"/>
              </w:rPr>
              <w:t>±14,6</w:t>
            </w:r>
          </w:p>
        </w:tc>
      </w:tr>
    </w:tbl>
    <w:p w:rsidR="004273B8" w:rsidRPr="003F3F73" w:rsidRDefault="004273B8" w:rsidP="004273B8">
      <w:pPr>
        <w:spacing w:line="360" w:lineRule="auto"/>
        <w:jc w:val="both"/>
      </w:pPr>
      <w:r w:rsidRPr="003F3F73">
        <w:lastRenderedPageBreak/>
        <w:t xml:space="preserve">Примітка: * - різниця </w:t>
      </w:r>
      <w:proofErr w:type="spellStart"/>
      <w:r w:rsidRPr="003F3F73">
        <w:t>вирогідна</w:t>
      </w:r>
      <w:proofErr w:type="spellEnd"/>
      <w:r w:rsidRPr="003F3F73">
        <w:t>, р&lt;0,05</w:t>
      </w:r>
    </w:p>
    <w:p w:rsidR="004273B8" w:rsidRPr="003F3F73" w:rsidRDefault="004273B8" w:rsidP="004273B8">
      <w:pPr>
        <w:spacing w:line="360" w:lineRule="auto"/>
        <w:ind w:firstLine="708"/>
        <w:jc w:val="both"/>
      </w:pPr>
      <w:r w:rsidRPr="003F3F73">
        <w:t xml:space="preserve">Що стосується кінетичних характеристик </w:t>
      </w:r>
      <w:proofErr w:type="spellStart"/>
      <w:r w:rsidRPr="003F3F73">
        <w:t>дофамінових</w:t>
      </w:r>
      <w:proofErr w:type="spellEnd"/>
      <w:r w:rsidRPr="003F3F73">
        <w:t xml:space="preserve"> рецепторів, слід зазначити, що </w:t>
      </w:r>
      <w:proofErr w:type="spellStart"/>
      <w:r w:rsidRPr="003F3F73">
        <w:t>лапроксид</w:t>
      </w:r>
      <w:proofErr w:type="spellEnd"/>
      <w:r w:rsidRPr="003F3F73">
        <w:t xml:space="preserve"> знижував рівноважну константу дисоціації і кількість місць зв’язування </w:t>
      </w:r>
      <w:proofErr w:type="spellStart"/>
      <w:r w:rsidRPr="003F3F73">
        <w:t>дофамінових</w:t>
      </w:r>
      <w:proofErr w:type="spellEnd"/>
      <w:r w:rsidRPr="003F3F73">
        <w:t xml:space="preserve"> рецепторів </w:t>
      </w:r>
      <w:r w:rsidRPr="003F3F73">
        <w:rPr>
          <w:lang w:val="en-US"/>
        </w:rPr>
        <w:t>D</w:t>
      </w:r>
      <w:r w:rsidRPr="003F3F73">
        <w:rPr>
          <w:vertAlign w:val="subscript"/>
        </w:rPr>
        <w:t>2</w:t>
      </w:r>
      <w:r w:rsidRPr="003F3F73">
        <w:t xml:space="preserve"> типу. Ці данні свідчать, що </w:t>
      </w:r>
      <w:proofErr w:type="spellStart"/>
      <w:r w:rsidRPr="003F3F73">
        <w:t>ксенобіотик</w:t>
      </w:r>
      <w:proofErr w:type="spellEnd"/>
      <w:r w:rsidRPr="003F3F73">
        <w:t xml:space="preserve"> на фоні підвищення спорідненості </w:t>
      </w:r>
      <w:proofErr w:type="spellStart"/>
      <w:r w:rsidRPr="003F3F73">
        <w:t>радіоліганда</w:t>
      </w:r>
      <w:proofErr w:type="spellEnd"/>
      <w:r w:rsidRPr="003F3F73">
        <w:t xml:space="preserve"> до </w:t>
      </w:r>
      <w:r w:rsidRPr="003F3F73">
        <w:rPr>
          <w:lang w:val="en-US"/>
        </w:rPr>
        <w:t>D</w:t>
      </w:r>
      <w:r w:rsidRPr="003F3F73">
        <w:rPr>
          <w:vertAlign w:val="subscript"/>
        </w:rPr>
        <w:t>2</w:t>
      </w:r>
      <w:r w:rsidRPr="003F3F73">
        <w:t xml:space="preserve">-рецепторів призводив до зменшення кількості місць його зв’язування у корі головного мозку. Однотипна характеристика кінетичних параметрів була властива для </w:t>
      </w:r>
      <w:proofErr w:type="spellStart"/>
      <w:r w:rsidRPr="003F3F73">
        <w:t>серотонінових</w:t>
      </w:r>
      <w:proofErr w:type="spellEnd"/>
      <w:r w:rsidRPr="003F3F73">
        <w:t xml:space="preserve"> рецепторів першого (С</w:t>
      </w:r>
      <w:r w:rsidRPr="003F3F73">
        <w:rPr>
          <w:vertAlign w:val="subscript"/>
        </w:rPr>
        <w:t>1</w:t>
      </w:r>
      <w:r w:rsidRPr="003F3F73">
        <w:t>) і другого (С</w:t>
      </w:r>
      <w:r w:rsidRPr="003F3F73">
        <w:rPr>
          <w:vertAlign w:val="subscript"/>
        </w:rPr>
        <w:t>2</w:t>
      </w:r>
      <w:r w:rsidRPr="003F3F73">
        <w:t xml:space="preserve">) типу у корі головного мозку. Ця реакція супроводжувалась зниженням рівноважної константи дисоціації і місць зв’язування </w:t>
      </w:r>
      <w:proofErr w:type="spellStart"/>
      <w:r w:rsidRPr="003F3F73">
        <w:t>серотонінових</w:t>
      </w:r>
      <w:proofErr w:type="spellEnd"/>
      <w:r w:rsidRPr="003F3F73">
        <w:t xml:space="preserve"> рецепторів. 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  <w:t xml:space="preserve">Аналіз </w:t>
      </w:r>
      <w:proofErr w:type="spellStart"/>
      <w:r w:rsidRPr="003F3F73">
        <w:t>глюкокортикоїдних</w:t>
      </w:r>
      <w:proofErr w:type="spellEnd"/>
      <w:r w:rsidRPr="003F3F73">
        <w:t xml:space="preserve"> рецепторів другого типу виявив їх підвищення у печінці, мозочку, стовбурі мозку і корі головного мозку,відповідно на 66,6 %, 86,6 %, 95,08 % і 130,05 % у тварин які були </w:t>
      </w:r>
      <w:proofErr w:type="spellStart"/>
      <w:r w:rsidRPr="003F3F73">
        <w:t>токсифіковані</w:t>
      </w:r>
      <w:proofErr w:type="spellEnd"/>
      <w:r w:rsidRPr="003F3F73">
        <w:t xml:space="preserve"> 1/100 ДЛ</w:t>
      </w:r>
      <w:r w:rsidRPr="003F3F73">
        <w:rPr>
          <w:vertAlign w:val="subscript"/>
        </w:rPr>
        <w:t>50</w:t>
      </w:r>
      <w:r w:rsidRPr="003F3F73">
        <w:t xml:space="preserve"> в порівнянні із групою контролю.</w:t>
      </w:r>
    </w:p>
    <w:p w:rsidR="004273B8" w:rsidRPr="003F3F73" w:rsidRDefault="004273B8" w:rsidP="004273B8">
      <w:pPr>
        <w:spacing w:line="360" w:lineRule="auto"/>
        <w:jc w:val="both"/>
      </w:pPr>
      <w:r w:rsidRPr="003F3F73">
        <w:tab/>
      </w:r>
      <w:r w:rsidRPr="00C00667">
        <w:rPr>
          <w:b/>
          <w:bCs/>
        </w:rPr>
        <w:t>Висновок.</w:t>
      </w:r>
      <w:r>
        <w:t xml:space="preserve"> </w:t>
      </w:r>
      <w:r w:rsidRPr="003F3F73">
        <w:t xml:space="preserve">Таким чином, </w:t>
      </w:r>
      <w:proofErr w:type="spellStart"/>
      <w:r w:rsidRPr="003F3F73">
        <w:t>Лапроксид</w:t>
      </w:r>
      <w:proofErr w:type="spellEnd"/>
      <w:r w:rsidRPr="003F3F73">
        <w:t xml:space="preserve"> Л-303 у </w:t>
      </w:r>
      <w:proofErr w:type="spellStart"/>
      <w:r w:rsidRPr="003F3F73">
        <w:t>субтоксичній</w:t>
      </w:r>
      <w:proofErr w:type="spellEnd"/>
      <w:r w:rsidRPr="003F3F73">
        <w:t xml:space="preserve"> дозі 1/100 ДЛ</w:t>
      </w:r>
      <w:r w:rsidRPr="003F3F73">
        <w:rPr>
          <w:vertAlign w:val="subscript"/>
        </w:rPr>
        <w:t>50</w:t>
      </w:r>
      <w:r w:rsidRPr="003F3F73">
        <w:t xml:space="preserve"> при тривалому надходженні пероральним шляхом до організму здійснює глибоку перебудову систем регуляції внутрішньоклітинного метаболізму, порушуючи обмін </w:t>
      </w:r>
      <w:proofErr w:type="spellStart"/>
      <w:r w:rsidRPr="003F3F73">
        <w:t>нейромедіаторів</w:t>
      </w:r>
      <w:proofErr w:type="spellEnd"/>
      <w:r w:rsidRPr="003F3F73">
        <w:t>, кінетичні характеристики параметрів</w:t>
      </w:r>
      <w:r>
        <w:t xml:space="preserve"> рецепторного зв’язування </w:t>
      </w:r>
      <w:proofErr w:type="spellStart"/>
      <w:r>
        <w:t>радіо</w:t>
      </w:r>
      <w:r w:rsidRPr="003F3F73">
        <w:t>лігандів</w:t>
      </w:r>
      <w:proofErr w:type="spellEnd"/>
      <w:r w:rsidRPr="003F3F73">
        <w:t xml:space="preserve"> на фоні пригнічення </w:t>
      </w:r>
      <w:proofErr w:type="spellStart"/>
      <w:r w:rsidRPr="003F3F73">
        <w:t>аденілатциклазного</w:t>
      </w:r>
      <w:proofErr w:type="spellEnd"/>
      <w:r w:rsidRPr="003F3F73">
        <w:t xml:space="preserve"> і активації </w:t>
      </w:r>
      <w:proofErr w:type="spellStart"/>
      <w:r w:rsidRPr="003F3F73">
        <w:t>гуанілатциклазного</w:t>
      </w:r>
      <w:proofErr w:type="spellEnd"/>
      <w:r w:rsidRPr="003F3F73">
        <w:t xml:space="preserve"> </w:t>
      </w:r>
      <w:proofErr w:type="spellStart"/>
      <w:r w:rsidRPr="003F3F73">
        <w:t>медіаторного</w:t>
      </w:r>
      <w:proofErr w:type="spellEnd"/>
      <w:r w:rsidRPr="003F3F73">
        <w:t xml:space="preserve"> каскаду, що віддзеркалює </w:t>
      </w:r>
      <w:proofErr w:type="spellStart"/>
      <w:r w:rsidRPr="003F3F73">
        <w:t>мембранотропну</w:t>
      </w:r>
      <w:proofErr w:type="spellEnd"/>
      <w:r w:rsidRPr="003F3F73">
        <w:t xml:space="preserve"> дію </w:t>
      </w:r>
      <w:proofErr w:type="spellStart"/>
      <w:r w:rsidRPr="003F3F73">
        <w:t>ксенобіотика</w:t>
      </w:r>
      <w:proofErr w:type="spellEnd"/>
      <w:r w:rsidRPr="003F3F73">
        <w:t xml:space="preserve"> та значну напругу адаптаційно-пристосувальних механізмів спрямованих на забезпечення гомеостатичної функції організму. В 1/1000 ДЛ</w:t>
      </w:r>
      <w:r w:rsidRPr="003F3F73">
        <w:rPr>
          <w:vertAlign w:val="subscript"/>
        </w:rPr>
        <w:t>50</w:t>
      </w:r>
      <w:r w:rsidRPr="003F3F73">
        <w:t xml:space="preserve"> </w:t>
      </w:r>
      <w:proofErr w:type="spellStart"/>
      <w:r w:rsidRPr="003F3F73">
        <w:t>лапроксид</w:t>
      </w:r>
      <w:proofErr w:type="spellEnd"/>
      <w:r w:rsidRPr="003F3F73">
        <w:t xml:space="preserve"> не впливає на системи регуляції внутрішньоклітинного метаболізму.</w:t>
      </w:r>
    </w:p>
    <w:p w:rsidR="004273B8" w:rsidRDefault="004273B8" w:rsidP="004273B8">
      <w:pPr>
        <w:spacing w:line="360" w:lineRule="auto"/>
        <w:rPr>
          <w:b/>
          <w:bCs/>
          <w:caps/>
        </w:rPr>
      </w:pPr>
      <w:r>
        <w:rPr>
          <w:b/>
          <w:bCs/>
          <w:caps/>
        </w:rPr>
        <w:t>ВЛИЯНИЕ ЛАПРОКСИДА Л-303 НА СОСТОЯНИЕ НЕЙРОМЕДИАТОРОВ, РЕЦЕПТОРНЫЙ апарат И СИСТЕМУ МЕДИАТОРНОЙ РЕГУЛЯЦИИ ВНУТРИКЛЕТОЧНОГО МЕТАБОЛИЗМА.</w:t>
      </w:r>
    </w:p>
    <w:p w:rsidR="004273B8" w:rsidRDefault="004273B8" w:rsidP="004273B8">
      <w:pPr>
        <w:spacing w:line="360" w:lineRule="auto"/>
        <w:rPr>
          <w:bCs/>
        </w:rPr>
      </w:pPr>
      <w:proofErr w:type="spellStart"/>
      <w:r>
        <w:rPr>
          <w:bCs/>
        </w:rPr>
        <w:t>Кучерявченко</w:t>
      </w:r>
      <w:proofErr w:type="spellEnd"/>
      <w:r>
        <w:rPr>
          <w:bCs/>
        </w:rPr>
        <w:t xml:space="preserve"> М.А.</w:t>
      </w:r>
    </w:p>
    <w:p w:rsidR="004273B8" w:rsidRDefault="004273B8" w:rsidP="004273B8">
      <w:pPr>
        <w:spacing w:line="360" w:lineRule="auto"/>
        <w:rPr>
          <w:bCs/>
        </w:rPr>
      </w:pPr>
      <w:proofErr w:type="spellStart"/>
      <w:r>
        <w:rPr>
          <w:bCs/>
        </w:rPr>
        <w:t>Харьковский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национальный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медицинский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университет</w:t>
      </w:r>
      <w:proofErr w:type="spellEnd"/>
    </w:p>
    <w:p w:rsidR="004273B8" w:rsidRPr="00F23FE2" w:rsidRDefault="004273B8" w:rsidP="004273B8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Ключевые</w:t>
      </w:r>
      <w:proofErr w:type="spellEnd"/>
      <w:r>
        <w:rPr>
          <w:bCs/>
        </w:rPr>
        <w:t xml:space="preserve"> слова: </w:t>
      </w:r>
      <w:proofErr w:type="spellStart"/>
      <w:r>
        <w:rPr>
          <w:bCs/>
        </w:rPr>
        <w:t>ксенобиотики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лапроксиды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нейромедиаторы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биогенные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амины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медиаторный</w:t>
      </w:r>
      <w:proofErr w:type="spellEnd"/>
      <w:r>
        <w:rPr>
          <w:bCs/>
        </w:rPr>
        <w:t xml:space="preserve"> каскад. </w:t>
      </w:r>
    </w:p>
    <w:p w:rsidR="004273B8" w:rsidRPr="001D2CD7" w:rsidRDefault="004273B8" w:rsidP="004273B8">
      <w:pPr>
        <w:spacing w:line="360" w:lineRule="auto"/>
        <w:jc w:val="both"/>
      </w:pPr>
      <w:proofErr w:type="spellStart"/>
      <w:r w:rsidRPr="001D2CD7">
        <w:t>Изучено</w:t>
      </w:r>
      <w:proofErr w:type="spellEnd"/>
      <w:r w:rsidRPr="001D2CD7">
        <w:t xml:space="preserve"> </w:t>
      </w:r>
      <w:proofErr w:type="spellStart"/>
      <w:r w:rsidRPr="001D2CD7">
        <w:t>влияние</w:t>
      </w:r>
      <w:proofErr w:type="spellEnd"/>
      <w:r w:rsidRPr="001D2CD7">
        <w:t xml:space="preserve"> </w:t>
      </w:r>
      <w:proofErr w:type="spellStart"/>
      <w:r w:rsidRPr="001D2CD7">
        <w:t>лапроксида</w:t>
      </w:r>
      <w:proofErr w:type="spellEnd"/>
      <w:r w:rsidRPr="001D2CD7">
        <w:t xml:space="preserve"> Л-303 на </w:t>
      </w:r>
      <w:proofErr w:type="spellStart"/>
      <w:r w:rsidRPr="001D2CD7">
        <w:t>моноамины</w:t>
      </w:r>
      <w:proofErr w:type="spellEnd"/>
      <w:r w:rsidRPr="001D2CD7">
        <w:t xml:space="preserve"> и </w:t>
      </w:r>
      <w:proofErr w:type="spellStart"/>
      <w:r w:rsidRPr="001D2CD7">
        <w:t>их</w:t>
      </w:r>
      <w:proofErr w:type="spellEnd"/>
      <w:r w:rsidRPr="001D2CD7">
        <w:t xml:space="preserve"> </w:t>
      </w:r>
      <w:proofErr w:type="spellStart"/>
      <w:r w:rsidRPr="001D2CD7">
        <w:t>предшественников</w:t>
      </w:r>
      <w:proofErr w:type="spellEnd"/>
      <w:r w:rsidRPr="001D2CD7">
        <w:t xml:space="preserve">, систему ГАМК / </w:t>
      </w:r>
      <w:proofErr w:type="spellStart"/>
      <w:r w:rsidRPr="001D2CD7">
        <w:t>глутамат</w:t>
      </w:r>
      <w:proofErr w:type="spellEnd"/>
      <w:r w:rsidRPr="001D2CD7">
        <w:t xml:space="preserve">, </w:t>
      </w:r>
      <w:proofErr w:type="spellStart"/>
      <w:r w:rsidRPr="001D2CD7">
        <w:t>параметры</w:t>
      </w:r>
      <w:proofErr w:type="spellEnd"/>
      <w:r w:rsidRPr="001D2CD7">
        <w:t xml:space="preserve"> рецепторного </w:t>
      </w:r>
      <w:proofErr w:type="spellStart"/>
      <w:r w:rsidRPr="001D2CD7">
        <w:t>связывания</w:t>
      </w:r>
      <w:proofErr w:type="spellEnd"/>
      <w:r w:rsidRPr="001D2CD7">
        <w:t xml:space="preserve"> и </w:t>
      </w:r>
      <w:proofErr w:type="spellStart"/>
      <w:r w:rsidRPr="001D2CD7">
        <w:t>внутриклеточный</w:t>
      </w:r>
      <w:proofErr w:type="spellEnd"/>
      <w:r w:rsidRPr="001D2CD7">
        <w:t xml:space="preserve"> </w:t>
      </w:r>
      <w:proofErr w:type="spellStart"/>
      <w:r w:rsidRPr="001D2CD7">
        <w:t>медиаторный</w:t>
      </w:r>
      <w:proofErr w:type="spellEnd"/>
      <w:r w:rsidRPr="001D2CD7">
        <w:t xml:space="preserve"> </w:t>
      </w:r>
      <w:proofErr w:type="spellStart"/>
      <w:r w:rsidRPr="001D2CD7">
        <w:t>циклазный</w:t>
      </w:r>
      <w:proofErr w:type="spellEnd"/>
      <w:r w:rsidRPr="001D2CD7">
        <w:t xml:space="preserve"> каскад в </w:t>
      </w:r>
      <w:proofErr w:type="spellStart"/>
      <w:r w:rsidRPr="001D2CD7">
        <w:t>условиях</w:t>
      </w:r>
      <w:proofErr w:type="spellEnd"/>
      <w:r w:rsidRPr="001D2CD7">
        <w:t xml:space="preserve"> </w:t>
      </w:r>
      <w:proofErr w:type="spellStart"/>
      <w:r w:rsidRPr="001D2CD7">
        <w:t>субтоксического</w:t>
      </w:r>
      <w:proofErr w:type="spellEnd"/>
      <w:r w:rsidRPr="001D2CD7">
        <w:t xml:space="preserve"> </w:t>
      </w:r>
      <w:proofErr w:type="spellStart"/>
      <w:r w:rsidRPr="001D2CD7">
        <w:t>длительного</w:t>
      </w:r>
      <w:proofErr w:type="spellEnd"/>
      <w:r w:rsidRPr="001D2CD7">
        <w:t xml:space="preserve"> </w:t>
      </w:r>
      <w:proofErr w:type="spellStart"/>
      <w:r w:rsidRPr="001D2CD7">
        <w:t>действия</w:t>
      </w:r>
      <w:proofErr w:type="spellEnd"/>
      <w:r w:rsidRPr="001D2CD7">
        <w:t xml:space="preserve"> на </w:t>
      </w:r>
      <w:proofErr w:type="spellStart"/>
      <w:r w:rsidRPr="001D2CD7">
        <w:t>организм</w:t>
      </w:r>
      <w:proofErr w:type="spellEnd"/>
      <w:r w:rsidRPr="001D2CD7">
        <w:t xml:space="preserve"> </w:t>
      </w:r>
      <w:proofErr w:type="spellStart"/>
      <w:r w:rsidRPr="001D2CD7">
        <w:t>теплокровных</w:t>
      </w:r>
      <w:proofErr w:type="spellEnd"/>
      <w:r w:rsidRPr="001D2CD7">
        <w:t xml:space="preserve"> </w:t>
      </w:r>
      <w:proofErr w:type="spellStart"/>
      <w:r w:rsidRPr="001D2CD7">
        <w:t>животных</w:t>
      </w:r>
      <w:proofErr w:type="spellEnd"/>
      <w:r w:rsidRPr="001D2CD7">
        <w:t xml:space="preserve">. Установлено, </w:t>
      </w:r>
      <w:proofErr w:type="spellStart"/>
      <w:r w:rsidRPr="001D2CD7">
        <w:t>что</w:t>
      </w:r>
      <w:proofErr w:type="spellEnd"/>
      <w:r w:rsidRPr="001D2CD7">
        <w:t xml:space="preserve"> Л-303 </w:t>
      </w:r>
      <w:proofErr w:type="spellStart"/>
      <w:r w:rsidRPr="001D2CD7">
        <w:t>осуществляет</w:t>
      </w:r>
      <w:proofErr w:type="spellEnd"/>
      <w:r w:rsidRPr="001D2CD7">
        <w:t xml:space="preserve"> </w:t>
      </w:r>
      <w:proofErr w:type="spellStart"/>
      <w:r w:rsidRPr="001D2CD7">
        <w:t>глубокую</w:t>
      </w:r>
      <w:proofErr w:type="spellEnd"/>
      <w:r w:rsidRPr="001D2CD7">
        <w:t xml:space="preserve"> перестройку систем </w:t>
      </w:r>
      <w:proofErr w:type="spellStart"/>
      <w:r w:rsidRPr="001D2CD7">
        <w:t>регуляции</w:t>
      </w:r>
      <w:proofErr w:type="spellEnd"/>
      <w:r w:rsidRPr="001D2CD7">
        <w:t xml:space="preserve"> </w:t>
      </w:r>
      <w:proofErr w:type="spellStart"/>
      <w:r w:rsidRPr="001D2CD7">
        <w:t>внутриклеточного</w:t>
      </w:r>
      <w:proofErr w:type="spellEnd"/>
      <w:r w:rsidRPr="001D2CD7">
        <w:t xml:space="preserve"> </w:t>
      </w:r>
      <w:proofErr w:type="spellStart"/>
      <w:r w:rsidRPr="001D2CD7">
        <w:t>метаболизма</w:t>
      </w:r>
      <w:proofErr w:type="spellEnd"/>
      <w:r w:rsidRPr="001D2CD7">
        <w:t xml:space="preserve">, </w:t>
      </w:r>
      <w:proofErr w:type="spellStart"/>
      <w:r w:rsidRPr="001D2CD7">
        <w:t>нарушая</w:t>
      </w:r>
      <w:proofErr w:type="spellEnd"/>
      <w:r w:rsidRPr="001D2CD7">
        <w:t xml:space="preserve"> </w:t>
      </w:r>
      <w:proofErr w:type="spellStart"/>
      <w:r w:rsidRPr="001D2CD7">
        <w:t>обмен</w:t>
      </w:r>
      <w:proofErr w:type="spellEnd"/>
      <w:r w:rsidRPr="001D2CD7">
        <w:t xml:space="preserve"> </w:t>
      </w:r>
      <w:proofErr w:type="spellStart"/>
      <w:r w:rsidRPr="001D2CD7">
        <w:t>нейромедиаторов</w:t>
      </w:r>
      <w:proofErr w:type="spellEnd"/>
      <w:r w:rsidRPr="001D2CD7">
        <w:t xml:space="preserve">, </w:t>
      </w:r>
      <w:proofErr w:type="spellStart"/>
      <w:r w:rsidRPr="001D2CD7">
        <w:t>кинетические</w:t>
      </w:r>
      <w:proofErr w:type="spellEnd"/>
      <w:r w:rsidRPr="001D2CD7">
        <w:t xml:space="preserve"> характеристики </w:t>
      </w:r>
      <w:proofErr w:type="spellStart"/>
      <w:r w:rsidRPr="001D2CD7">
        <w:t>параметров</w:t>
      </w:r>
      <w:proofErr w:type="spellEnd"/>
      <w:r w:rsidRPr="001D2CD7">
        <w:t xml:space="preserve"> рецепторного </w:t>
      </w:r>
      <w:proofErr w:type="spellStart"/>
      <w:r w:rsidRPr="001D2CD7">
        <w:t>связывания</w:t>
      </w:r>
      <w:proofErr w:type="spellEnd"/>
      <w:r w:rsidRPr="001D2CD7">
        <w:t xml:space="preserve"> </w:t>
      </w:r>
      <w:proofErr w:type="spellStart"/>
      <w:r w:rsidRPr="001D2CD7">
        <w:t>радиолигандов</w:t>
      </w:r>
      <w:proofErr w:type="spellEnd"/>
      <w:r w:rsidRPr="001D2CD7">
        <w:t xml:space="preserve"> на </w:t>
      </w:r>
      <w:proofErr w:type="spellStart"/>
      <w:r w:rsidRPr="001D2CD7">
        <w:lastRenderedPageBreak/>
        <w:t>фоне</w:t>
      </w:r>
      <w:proofErr w:type="spellEnd"/>
      <w:r w:rsidRPr="001D2CD7">
        <w:t xml:space="preserve"> </w:t>
      </w:r>
      <w:proofErr w:type="spellStart"/>
      <w:r w:rsidRPr="001D2CD7">
        <w:t>угнетения</w:t>
      </w:r>
      <w:proofErr w:type="spellEnd"/>
      <w:r w:rsidRPr="001D2CD7">
        <w:t xml:space="preserve"> </w:t>
      </w:r>
      <w:proofErr w:type="spellStart"/>
      <w:r w:rsidRPr="001D2CD7">
        <w:t>аденилатциклазного</w:t>
      </w:r>
      <w:proofErr w:type="spellEnd"/>
      <w:r w:rsidRPr="001D2CD7">
        <w:t xml:space="preserve"> и </w:t>
      </w:r>
      <w:proofErr w:type="spellStart"/>
      <w:r w:rsidRPr="001D2CD7">
        <w:t>активации</w:t>
      </w:r>
      <w:proofErr w:type="spellEnd"/>
      <w:r w:rsidRPr="001D2CD7">
        <w:t xml:space="preserve"> </w:t>
      </w:r>
      <w:proofErr w:type="spellStart"/>
      <w:r w:rsidRPr="001D2CD7">
        <w:t>гуанилатциклазного</w:t>
      </w:r>
      <w:proofErr w:type="spellEnd"/>
      <w:r w:rsidRPr="001D2CD7">
        <w:t xml:space="preserve"> </w:t>
      </w:r>
      <w:proofErr w:type="spellStart"/>
      <w:r w:rsidRPr="001D2CD7">
        <w:t>медиаторного</w:t>
      </w:r>
      <w:proofErr w:type="spellEnd"/>
      <w:r w:rsidRPr="001D2CD7">
        <w:t xml:space="preserve"> </w:t>
      </w:r>
      <w:proofErr w:type="spellStart"/>
      <w:r w:rsidRPr="001D2CD7">
        <w:t>каскада</w:t>
      </w:r>
      <w:proofErr w:type="spellEnd"/>
      <w:r w:rsidRPr="001D2CD7">
        <w:t>.</w:t>
      </w:r>
    </w:p>
    <w:p w:rsidR="004273B8" w:rsidRDefault="004273B8" w:rsidP="004273B8">
      <w:pPr>
        <w:spacing w:line="360" w:lineRule="auto"/>
        <w:jc w:val="both"/>
        <w:rPr>
          <w:i/>
          <w:iCs/>
        </w:rPr>
      </w:pPr>
    </w:p>
    <w:p w:rsidR="004273B8" w:rsidRPr="00CD247A" w:rsidRDefault="004273B8" w:rsidP="004273B8">
      <w:pPr>
        <w:spacing w:line="360" w:lineRule="auto"/>
        <w:jc w:val="both"/>
        <w:rPr>
          <w:b/>
          <w:bCs/>
          <w:caps/>
          <w:lang w:val="en-US"/>
        </w:rPr>
      </w:pPr>
      <w:proofErr w:type="gramStart"/>
      <w:r w:rsidRPr="00CD247A">
        <w:rPr>
          <w:b/>
          <w:bCs/>
          <w:lang w:val="en-US"/>
        </w:rPr>
        <w:t>THE EFFECT OF LAPROXIDE L</w:t>
      </w:r>
      <w:r w:rsidRPr="00CD247A">
        <w:rPr>
          <w:b/>
          <w:bCs/>
          <w:caps/>
          <w:lang w:val="en-US"/>
        </w:rPr>
        <w:t xml:space="preserve">-303 ON THE STATE OF </w:t>
      </w:r>
      <w:smartTag w:uri="urn:schemas-microsoft-com:office:smarttags" w:element="place">
        <w:smartTag w:uri="urn:schemas-microsoft-com:office:smarttags" w:element="State">
          <w:r w:rsidRPr="00CD247A">
            <w:rPr>
              <w:b/>
              <w:bCs/>
              <w:caps/>
              <w:lang w:val="en-US"/>
            </w:rPr>
            <w:t>NEUROMEDIATORS</w:t>
          </w:r>
        </w:smartTag>
      </w:smartTag>
      <w:r w:rsidRPr="00CD247A">
        <w:rPr>
          <w:b/>
          <w:bCs/>
          <w:caps/>
          <w:lang w:val="en-US"/>
        </w:rPr>
        <w:t>, RECEPTOR APPARATUS AND MEDIATOR REGULATORY SYSTEM OF INTRACELLULAR METABOLISM</w:t>
      </w:r>
      <w:r w:rsidRPr="00CD247A">
        <w:rPr>
          <w:b/>
          <w:bCs/>
          <w:caps/>
        </w:rPr>
        <w:t>.</w:t>
      </w:r>
      <w:proofErr w:type="gramEnd"/>
    </w:p>
    <w:p w:rsidR="004273B8" w:rsidRPr="00CD247A" w:rsidRDefault="004273B8" w:rsidP="004273B8">
      <w:pPr>
        <w:spacing w:line="360" w:lineRule="auto"/>
        <w:jc w:val="both"/>
        <w:rPr>
          <w:lang w:val="en-US"/>
        </w:rPr>
      </w:pPr>
      <w:proofErr w:type="spellStart"/>
      <w:r w:rsidRPr="00CD247A">
        <w:rPr>
          <w:lang w:val="en-US"/>
        </w:rPr>
        <w:t>Kucheriavchenko</w:t>
      </w:r>
      <w:proofErr w:type="spellEnd"/>
      <w:r w:rsidRPr="00CD247A">
        <w:rPr>
          <w:lang w:val="en-US"/>
        </w:rPr>
        <w:t xml:space="preserve"> M.</w:t>
      </w:r>
    </w:p>
    <w:p w:rsidR="004273B8" w:rsidRPr="00CD247A" w:rsidRDefault="004273B8" w:rsidP="004273B8">
      <w:pPr>
        <w:spacing w:line="360" w:lineRule="auto"/>
        <w:jc w:val="both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CD247A">
            <w:rPr>
              <w:lang w:val="en-US"/>
            </w:rPr>
            <w:t>Kharkov</w:t>
          </w:r>
        </w:smartTag>
        <w:r w:rsidRPr="00CD247A">
          <w:rPr>
            <w:lang w:val="en-US"/>
          </w:rPr>
          <w:t xml:space="preserve"> </w:t>
        </w:r>
        <w:smartTag w:uri="urn:schemas-microsoft-com:office:smarttags" w:element="PlaceName">
          <w:r w:rsidRPr="00CD247A">
            <w:rPr>
              <w:lang w:val="en-US"/>
            </w:rPr>
            <w:t>National</w:t>
          </w:r>
        </w:smartTag>
        <w:r w:rsidRPr="00CD247A">
          <w:rPr>
            <w:lang w:val="en-US"/>
          </w:rPr>
          <w:t xml:space="preserve"> </w:t>
        </w:r>
        <w:smartTag w:uri="urn:schemas-microsoft-com:office:smarttags" w:element="PlaceName">
          <w:r w:rsidRPr="00CD247A">
            <w:rPr>
              <w:lang w:val="en-US"/>
            </w:rPr>
            <w:t>Medical</w:t>
          </w:r>
        </w:smartTag>
        <w:r w:rsidRPr="00CD247A">
          <w:rPr>
            <w:lang w:val="en-US"/>
          </w:rPr>
          <w:t xml:space="preserve"> </w:t>
        </w:r>
        <w:smartTag w:uri="urn:schemas-microsoft-com:office:smarttags" w:element="PlaceType">
          <w:r w:rsidRPr="00CD247A">
            <w:rPr>
              <w:lang w:val="en-US"/>
            </w:rPr>
            <w:t>University</w:t>
          </w:r>
        </w:smartTag>
      </w:smartTag>
    </w:p>
    <w:p w:rsidR="004273B8" w:rsidRPr="00CD247A" w:rsidRDefault="004273B8" w:rsidP="004273B8">
      <w:pPr>
        <w:spacing w:line="360" w:lineRule="auto"/>
        <w:jc w:val="both"/>
        <w:rPr>
          <w:lang w:val="en-US"/>
        </w:rPr>
      </w:pPr>
      <w:r w:rsidRPr="00CD247A">
        <w:rPr>
          <w:b/>
          <w:bCs/>
          <w:lang w:val="en-US"/>
        </w:rPr>
        <w:t xml:space="preserve">Keywords: </w:t>
      </w:r>
      <w:proofErr w:type="spellStart"/>
      <w:r w:rsidRPr="00CD247A">
        <w:rPr>
          <w:lang w:val="en-US"/>
        </w:rPr>
        <w:t>laproxides</w:t>
      </w:r>
      <w:proofErr w:type="spellEnd"/>
      <w:proofErr w:type="gramStart"/>
      <w:r w:rsidRPr="00CD247A">
        <w:rPr>
          <w:lang w:val="en-US"/>
        </w:rPr>
        <w:t xml:space="preserve">,  </w:t>
      </w:r>
      <w:proofErr w:type="spellStart"/>
      <w:r w:rsidRPr="00CD247A">
        <w:rPr>
          <w:lang w:val="en-US"/>
        </w:rPr>
        <w:t>xenobiotics</w:t>
      </w:r>
      <w:proofErr w:type="spellEnd"/>
      <w:proofErr w:type="gramEnd"/>
      <w:r w:rsidRPr="00CD247A">
        <w:rPr>
          <w:lang w:val="en-US"/>
        </w:rPr>
        <w:t xml:space="preserve">, </w:t>
      </w:r>
      <w:proofErr w:type="spellStart"/>
      <w:r w:rsidRPr="00CD247A">
        <w:rPr>
          <w:lang w:val="en-US"/>
        </w:rPr>
        <w:t>neuromediators</w:t>
      </w:r>
      <w:proofErr w:type="spellEnd"/>
      <w:r w:rsidRPr="00CD247A">
        <w:rPr>
          <w:lang w:val="en-US"/>
        </w:rPr>
        <w:t>, biogenic monoamines, mediator cascade.</w:t>
      </w:r>
    </w:p>
    <w:p w:rsidR="004273B8" w:rsidRPr="00D307AD" w:rsidRDefault="004273B8" w:rsidP="004273B8">
      <w:pPr>
        <w:spacing w:line="360" w:lineRule="auto"/>
        <w:jc w:val="both"/>
        <w:rPr>
          <w:lang w:val="en-US"/>
        </w:rPr>
      </w:pPr>
      <w:r w:rsidRPr="00CD247A">
        <w:rPr>
          <w:lang w:val="en-US"/>
        </w:rPr>
        <w:t xml:space="preserve">The article deals with investigation of the effect of </w:t>
      </w:r>
      <w:proofErr w:type="spellStart"/>
      <w:r w:rsidRPr="00CD247A">
        <w:rPr>
          <w:lang w:val="en-US"/>
        </w:rPr>
        <w:t>laproxide</w:t>
      </w:r>
      <w:proofErr w:type="spellEnd"/>
      <w:r w:rsidRPr="00CD247A">
        <w:rPr>
          <w:lang w:val="en-US"/>
        </w:rPr>
        <w:t xml:space="preserve"> L-303 on biogenic monoamines and their precursors, </w:t>
      </w:r>
      <w:proofErr w:type="spellStart"/>
      <w:r w:rsidRPr="00CD247A">
        <w:rPr>
          <w:lang w:val="en-US"/>
        </w:rPr>
        <w:t>guanylate</w:t>
      </w:r>
      <w:proofErr w:type="spellEnd"/>
      <w:r w:rsidRPr="00CD247A">
        <w:rPr>
          <w:lang w:val="en-US"/>
        </w:rPr>
        <w:t xml:space="preserve"> </w:t>
      </w:r>
      <w:proofErr w:type="spellStart"/>
      <w:r w:rsidRPr="00CD247A">
        <w:rPr>
          <w:lang w:val="en-US"/>
        </w:rPr>
        <w:t>cyclase</w:t>
      </w:r>
      <w:proofErr w:type="spellEnd"/>
      <w:r w:rsidRPr="00CD247A">
        <w:rPr>
          <w:lang w:val="en-US"/>
        </w:rPr>
        <w:t xml:space="preserve"> mediator cascade / glutamate system, indices of receptor connection and intracellular mediator </w:t>
      </w:r>
      <w:proofErr w:type="spellStart"/>
      <w:r w:rsidRPr="00CD247A">
        <w:rPr>
          <w:lang w:val="en-US"/>
        </w:rPr>
        <w:t>cyclase</w:t>
      </w:r>
      <w:proofErr w:type="spellEnd"/>
      <w:r w:rsidRPr="00CD247A">
        <w:rPr>
          <w:lang w:val="en-US"/>
        </w:rPr>
        <w:t xml:space="preserve"> cascade in prolonged </w:t>
      </w:r>
      <w:proofErr w:type="spellStart"/>
      <w:r w:rsidRPr="00CD247A">
        <w:rPr>
          <w:lang w:val="en-US"/>
        </w:rPr>
        <w:t>subtoxic</w:t>
      </w:r>
      <w:proofErr w:type="spellEnd"/>
      <w:r w:rsidRPr="00CD247A">
        <w:rPr>
          <w:lang w:val="en-US"/>
        </w:rPr>
        <w:t xml:space="preserve"> exposure of </w:t>
      </w:r>
      <w:proofErr w:type="spellStart"/>
      <w:r w:rsidRPr="00CD247A">
        <w:rPr>
          <w:lang w:val="en-US"/>
        </w:rPr>
        <w:t>homoithermic</w:t>
      </w:r>
      <w:proofErr w:type="spellEnd"/>
      <w:r w:rsidRPr="00CD247A">
        <w:rPr>
          <w:lang w:val="en-US"/>
        </w:rPr>
        <w:t xml:space="preserve"> animals</w:t>
      </w:r>
      <w:r w:rsidRPr="00CD247A">
        <w:t xml:space="preserve">. </w:t>
      </w:r>
      <w:r w:rsidRPr="00CD247A">
        <w:rPr>
          <w:lang w:val="en-US"/>
        </w:rPr>
        <w:t>L</w:t>
      </w:r>
      <w:r w:rsidRPr="00CD247A">
        <w:t xml:space="preserve">-303 </w:t>
      </w:r>
      <w:r w:rsidRPr="00CD247A">
        <w:rPr>
          <w:lang w:val="en-US"/>
        </w:rPr>
        <w:t>has</w:t>
      </w:r>
      <w:r w:rsidRPr="00CD247A">
        <w:t xml:space="preserve"> </w:t>
      </w:r>
      <w:r w:rsidRPr="00CD247A">
        <w:rPr>
          <w:lang w:val="en-US"/>
        </w:rPr>
        <w:t>been</w:t>
      </w:r>
      <w:r w:rsidRPr="00CD247A">
        <w:t xml:space="preserve"> </w:t>
      </w:r>
      <w:r w:rsidRPr="00CD247A">
        <w:rPr>
          <w:lang w:val="en-US"/>
        </w:rPr>
        <w:t>found</w:t>
      </w:r>
      <w:r w:rsidRPr="00CD247A">
        <w:t xml:space="preserve"> </w:t>
      </w:r>
      <w:r w:rsidRPr="00CD247A">
        <w:rPr>
          <w:lang w:val="en-US"/>
        </w:rPr>
        <w:t>to</w:t>
      </w:r>
      <w:r w:rsidRPr="00CD247A">
        <w:t xml:space="preserve"> </w:t>
      </w:r>
      <w:r w:rsidRPr="00CD247A">
        <w:rPr>
          <w:lang w:val="en-US"/>
        </w:rPr>
        <w:t>invoke</w:t>
      </w:r>
      <w:r w:rsidRPr="00CD247A">
        <w:t xml:space="preserve"> </w:t>
      </w:r>
      <w:r w:rsidRPr="00CD247A">
        <w:rPr>
          <w:lang w:val="en-US"/>
        </w:rPr>
        <w:t>a</w:t>
      </w:r>
      <w:r w:rsidRPr="00CD247A">
        <w:t xml:space="preserve"> </w:t>
      </w:r>
      <w:r w:rsidRPr="00CD247A">
        <w:rPr>
          <w:lang w:val="en-US"/>
        </w:rPr>
        <w:t>profound</w:t>
      </w:r>
      <w:r w:rsidRPr="00CD247A">
        <w:t xml:space="preserve"> </w:t>
      </w:r>
      <w:r w:rsidRPr="00CD247A">
        <w:rPr>
          <w:lang w:val="en-US"/>
        </w:rPr>
        <w:t>reconstruction</w:t>
      </w:r>
      <w:r w:rsidRPr="00CD247A">
        <w:t xml:space="preserve"> </w:t>
      </w:r>
      <w:r w:rsidRPr="00CD247A">
        <w:rPr>
          <w:lang w:val="en-US"/>
        </w:rPr>
        <w:t>of</w:t>
      </w:r>
      <w:r w:rsidRPr="00CD247A">
        <w:t xml:space="preserve"> </w:t>
      </w:r>
      <w:r w:rsidRPr="00CD247A">
        <w:rPr>
          <w:lang w:val="en-US"/>
        </w:rPr>
        <w:t>intracellular</w:t>
      </w:r>
      <w:r w:rsidRPr="00CD247A">
        <w:t xml:space="preserve"> </w:t>
      </w:r>
      <w:r w:rsidRPr="00CD247A">
        <w:rPr>
          <w:lang w:val="en-US"/>
        </w:rPr>
        <w:t>metabolism</w:t>
      </w:r>
      <w:r w:rsidRPr="00CD247A">
        <w:t xml:space="preserve"> </w:t>
      </w:r>
      <w:r w:rsidRPr="00CD247A">
        <w:rPr>
          <w:lang w:val="en-US"/>
        </w:rPr>
        <w:t>regulation</w:t>
      </w:r>
      <w:r w:rsidRPr="00CD247A">
        <w:t xml:space="preserve"> </w:t>
      </w:r>
      <w:r w:rsidRPr="00CD247A">
        <w:rPr>
          <w:lang w:val="en-US"/>
        </w:rPr>
        <w:t>systems</w:t>
      </w:r>
      <w:r w:rsidRPr="00CD247A">
        <w:t xml:space="preserve">, </w:t>
      </w:r>
      <w:r w:rsidRPr="00CD247A">
        <w:rPr>
          <w:lang w:val="en-US"/>
        </w:rPr>
        <w:t>violating</w:t>
      </w:r>
      <w:r w:rsidRPr="00CD247A">
        <w:t xml:space="preserve"> </w:t>
      </w:r>
      <w:proofErr w:type="spellStart"/>
      <w:r w:rsidRPr="00CD247A">
        <w:rPr>
          <w:lang w:val="en-US"/>
        </w:rPr>
        <w:t>neuromediators</w:t>
      </w:r>
      <w:proofErr w:type="spellEnd"/>
      <w:r w:rsidRPr="00CD247A">
        <w:t xml:space="preserve"> </w:t>
      </w:r>
      <w:r w:rsidRPr="00CD247A">
        <w:rPr>
          <w:lang w:val="en-US"/>
        </w:rPr>
        <w:t>exchange</w:t>
      </w:r>
      <w:r w:rsidRPr="00CD247A">
        <w:t xml:space="preserve">, </w:t>
      </w:r>
      <w:r w:rsidRPr="00CD247A">
        <w:rPr>
          <w:lang w:val="en-US"/>
        </w:rPr>
        <w:t>kinetic</w:t>
      </w:r>
      <w:r w:rsidRPr="00CD247A">
        <w:t xml:space="preserve"> </w:t>
      </w:r>
      <w:r w:rsidRPr="00CD247A">
        <w:rPr>
          <w:lang w:val="en-US"/>
        </w:rPr>
        <w:t>properties</w:t>
      </w:r>
      <w:r w:rsidRPr="00CD247A">
        <w:t xml:space="preserve"> </w:t>
      </w:r>
      <w:r w:rsidRPr="00CD247A">
        <w:rPr>
          <w:lang w:val="en-US"/>
        </w:rPr>
        <w:t>of</w:t>
      </w:r>
      <w:r w:rsidRPr="00CD247A">
        <w:t xml:space="preserve"> </w:t>
      </w:r>
      <w:proofErr w:type="spellStart"/>
      <w:r w:rsidRPr="00CD247A">
        <w:rPr>
          <w:lang w:val="en-US"/>
        </w:rPr>
        <w:t>radioligand</w:t>
      </w:r>
      <w:proofErr w:type="spellEnd"/>
      <w:r w:rsidRPr="00CD247A">
        <w:t xml:space="preserve"> </w:t>
      </w:r>
      <w:r w:rsidRPr="00CD247A">
        <w:rPr>
          <w:lang w:val="en-US"/>
        </w:rPr>
        <w:t>receptor</w:t>
      </w:r>
      <w:r w:rsidRPr="00CD247A">
        <w:t xml:space="preserve"> </w:t>
      </w:r>
      <w:r w:rsidRPr="00CD247A">
        <w:rPr>
          <w:lang w:val="en-US"/>
        </w:rPr>
        <w:t>connection</w:t>
      </w:r>
      <w:r w:rsidRPr="00CD247A">
        <w:t xml:space="preserve"> </w:t>
      </w:r>
      <w:r w:rsidRPr="00CD247A">
        <w:rPr>
          <w:lang w:val="en-US"/>
        </w:rPr>
        <w:t>indices</w:t>
      </w:r>
      <w:r w:rsidRPr="00CD247A">
        <w:t xml:space="preserve"> </w:t>
      </w:r>
      <w:r w:rsidRPr="00CD247A">
        <w:rPr>
          <w:lang w:val="en-US"/>
        </w:rPr>
        <w:t xml:space="preserve">associated with inhibition of </w:t>
      </w:r>
      <w:proofErr w:type="spellStart"/>
      <w:r w:rsidRPr="00CD247A">
        <w:rPr>
          <w:lang w:val="en-US"/>
        </w:rPr>
        <w:t>adenylate</w:t>
      </w:r>
      <w:proofErr w:type="spellEnd"/>
      <w:r w:rsidRPr="00CD247A">
        <w:rPr>
          <w:lang w:val="en-US"/>
        </w:rPr>
        <w:t xml:space="preserve"> </w:t>
      </w:r>
      <w:proofErr w:type="spellStart"/>
      <w:r w:rsidRPr="00CD247A">
        <w:rPr>
          <w:lang w:val="en-US"/>
        </w:rPr>
        <w:t>cyclase</w:t>
      </w:r>
      <w:proofErr w:type="spellEnd"/>
      <w:r w:rsidRPr="00CD247A">
        <w:rPr>
          <w:lang w:val="en-US"/>
        </w:rPr>
        <w:t xml:space="preserve"> and activation of </w:t>
      </w:r>
      <w:proofErr w:type="spellStart"/>
      <w:r w:rsidRPr="00CD247A">
        <w:rPr>
          <w:lang w:val="en-US"/>
        </w:rPr>
        <w:t>guanylate</w:t>
      </w:r>
      <w:proofErr w:type="spellEnd"/>
      <w:r w:rsidRPr="00CD247A">
        <w:rPr>
          <w:lang w:val="en-US"/>
        </w:rPr>
        <w:t xml:space="preserve"> </w:t>
      </w:r>
      <w:proofErr w:type="spellStart"/>
      <w:r w:rsidRPr="00CD247A">
        <w:rPr>
          <w:lang w:val="en-US"/>
        </w:rPr>
        <w:t>cyclase</w:t>
      </w:r>
      <w:proofErr w:type="spellEnd"/>
      <w:r w:rsidRPr="00CD247A">
        <w:rPr>
          <w:lang w:val="en-US"/>
        </w:rPr>
        <w:t xml:space="preserve"> mediator cascade. </w:t>
      </w:r>
    </w:p>
    <w:p w:rsidR="004273B8" w:rsidRDefault="004273B8" w:rsidP="004273B8">
      <w:pPr>
        <w:spacing w:line="360" w:lineRule="auto"/>
        <w:rPr>
          <w:b/>
          <w:bCs/>
        </w:rPr>
      </w:pPr>
    </w:p>
    <w:p w:rsidR="004273B8" w:rsidRDefault="004273B8" w:rsidP="004273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Література</w:t>
      </w:r>
    </w:p>
    <w:p w:rsidR="004273B8" w:rsidRDefault="004273B8" w:rsidP="004273B8">
      <w:pPr>
        <w:numPr>
          <w:ilvl w:val="0"/>
          <w:numId w:val="3"/>
        </w:numPr>
        <w:spacing w:line="360" w:lineRule="auto"/>
        <w:jc w:val="both"/>
      </w:pPr>
      <w:proofErr w:type="spellStart"/>
      <w:r w:rsidRPr="0060113E">
        <w:t>Глозман</w:t>
      </w:r>
      <w:proofErr w:type="spellEnd"/>
      <w:r w:rsidRPr="0060113E">
        <w:t xml:space="preserve">, Ж.М. </w:t>
      </w:r>
      <w:proofErr w:type="spellStart"/>
      <w:r w:rsidRPr="0060113E">
        <w:t>Нейропсихологическая</w:t>
      </w:r>
      <w:proofErr w:type="spellEnd"/>
      <w:r w:rsidRPr="0060113E">
        <w:t xml:space="preserve"> </w:t>
      </w:r>
      <w:proofErr w:type="spellStart"/>
      <w:r w:rsidRPr="0060113E">
        <w:t>диагностика</w:t>
      </w:r>
      <w:proofErr w:type="spellEnd"/>
      <w:r w:rsidRPr="0060113E">
        <w:t xml:space="preserve"> : </w:t>
      </w:r>
      <w:proofErr w:type="spellStart"/>
      <w:r w:rsidRPr="0060113E">
        <w:t>качественная</w:t>
      </w:r>
      <w:proofErr w:type="spellEnd"/>
      <w:r w:rsidRPr="0060113E">
        <w:t xml:space="preserve"> и </w:t>
      </w:r>
      <w:proofErr w:type="spellStart"/>
      <w:r w:rsidRPr="0060113E">
        <w:t>количественная</w:t>
      </w:r>
      <w:proofErr w:type="spellEnd"/>
      <w:r w:rsidRPr="0060113E">
        <w:t xml:space="preserve"> </w:t>
      </w:r>
      <w:proofErr w:type="spellStart"/>
      <w:r w:rsidRPr="0060113E">
        <w:t>оценка</w:t>
      </w:r>
      <w:proofErr w:type="spellEnd"/>
      <w:r w:rsidRPr="0060113E">
        <w:t xml:space="preserve"> </w:t>
      </w:r>
      <w:proofErr w:type="spellStart"/>
      <w:r w:rsidRPr="0060113E">
        <w:t>данных</w:t>
      </w:r>
      <w:proofErr w:type="spellEnd"/>
      <w:r w:rsidRPr="0060113E">
        <w:t xml:space="preserve"> / Ж.М. </w:t>
      </w:r>
      <w:proofErr w:type="spellStart"/>
      <w:r w:rsidRPr="0060113E">
        <w:t>Глозман</w:t>
      </w:r>
      <w:proofErr w:type="spellEnd"/>
      <w:r w:rsidRPr="0060113E">
        <w:t xml:space="preserve">. – Москва : </w:t>
      </w:r>
      <w:proofErr w:type="spellStart"/>
      <w:r w:rsidRPr="0060113E">
        <w:t>Смысл</w:t>
      </w:r>
      <w:proofErr w:type="spellEnd"/>
      <w:r w:rsidRPr="0060113E">
        <w:t>, 2012. –</w:t>
      </w:r>
      <w:r>
        <w:t xml:space="preserve"> 264 с.</w:t>
      </w:r>
    </w:p>
    <w:p w:rsidR="004273B8" w:rsidRDefault="004273B8" w:rsidP="004273B8">
      <w:pPr>
        <w:numPr>
          <w:ilvl w:val="0"/>
          <w:numId w:val="3"/>
        </w:numPr>
        <w:spacing w:line="360" w:lineRule="auto"/>
        <w:jc w:val="both"/>
      </w:pPr>
      <w:proofErr w:type="spellStart"/>
      <w:r>
        <w:t>Зайко</w:t>
      </w:r>
      <w:proofErr w:type="spellEnd"/>
      <w:r>
        <w:t xml:space="preserve"> С.Д.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биогенных</w:t>
      </w:r>
      <w:proofErr w:type="spellEnd"/>
      <w:r>
        <w:t xml:space="preserve"> </w:t>
      </w:r>
      <w:proofErr w:type="spellStart"/>
      <w:r>
        <w:t>аминов</w:t>
      </w:r>
      <w:proofErr w:type="spellEnd"/>
      <w:r>
        <w:t xml:space="preserve"> в </w:t>
      </w:r>
      <w:proofErr w:type="spellStart"/>
      <w:r>
        <w:t>лабораторной</w:t>
      </w:r>
      <w:proofErr w:type="spellEnd"/>
      <w:r>
        <w:t xml:space="preserve"> </w:t>
      </w:r>
      <w:proofErr w:type="spellStart"/>
      <w:r>
        <w:t>практике</w:t>
      </w:r>
      <w:proofErr w:type="spellEnd"/>
      <w:r>
        <w:t xml:space="preserve"> // </w:t>
      </w:r>
      <w:proofErr w:type="spellStart"/>
      <w:r>
        <w:t>Клинико-лабораторный</w:t>
      </w:r>
      <w:proofErr w:type="spellEnd"/>
      <w:r>
        <w:t xml:space="preserve"> консиліум. – 2009. - № 4 (29). – С. 54-60.</w:t>
      </w:r>
    </w:p>
    <w:p w:rsidR="004273B8" w:rsidRDefault="004273B8" w:rsidP="004273B8">
      <w:pPr>
        <w:numPr>
          <w:ilvl w:val="0"/>
          <w:numId w:val="3"/>
        </w:numPr>
        <w:spacing w:line="360" w:lineRule="auto"/>
        <w:jc w:val="both"/>
      </w:pPr>
      <w:proofErr w:type="spellStart"/>
      <w:r w:rsidRPr="0060113E">
        <w:t>Таганович</w:t>
      </w:r>
      <w:proofErr w:type="spellEnd"/>
      <w:r w:rsidRPr="0060113E">
        <w:t xml:space="preserve">, А.Д. </w:t>
      </w:r>
      <w:proofErr w:type="spellStart"/>
      <w:r w:rsidRPr="0060113E">
        <w:t>Патологическая</w:t>
      </w:r>
      <w:proofErr w:type="spellEnd"/>
      <w:r w:rsidRPr="0060113E">
        <w:t xml:space="preserve"> </w:t>
      </w:r>
      <w:proofErr w:type="spellStart"/>
      <w:r w:rsidRPr="0060113E">
        <w:t>биохимия</w:t>
      </w:r>
      <w:proofErr w:type="spellEnd"/>
      <w:r w:rsidRPr="0060113E">
        <w:t xml:space="preserve"> / А.Д. </w:t>
      </w:r>
      <w:proofErr w:type="spellStart"/>
      <w:r w:rsidRPr="0060113E">
        <w:t>Таганович</w:t>
      </w:r>
      <w:proofErr w:type="spellEnd"/>
      <w:r w:rsidRPr="0060113E">
        <w:t xml:space="preserve">, Э.И. </w:t>
      </w:r>
      <w:proofErr w:type="spellStart"/>
      <w:r w:rsidRPr="0060113E">
        <w:t>Олецкий</w:t>
      </w:r>
      <w:proofErr w:type="spellEnd"/>
      <w:r w:rsidRPr="0060113E">
        <w:t xml:space="preserve">, И.Л. </w:t>
      </w:r>
      <w:proofErr w:type="spellStart"/>
      <w:r w:rsidRPr="0060113E">
        <w:t>Котович</w:t>
      </w:r>
      <w:proofErr w:type="spellEnd"/>
      <w:r w:rsidRPr="0060113E">
        <w:t xml:space="preserve">. – Москва : </w:t>
      </w:r>
      <w:proofErr w:type="spellStart"/>
      <w:r w:rsidRPr="0060113E">
        <w:t>Бином</w:t>
      </w:r>
      <w:proofErr w:type="spellEnd"/>
      <w:r w:rsidRPr="0060113E">
        <w:t>, 2013. – 448 с.</w:t>
      </w:r>
    </w:p>
    <w:p w:rsidR="004273B8" w:rsidRPr="003F3F73" w:rsidRDefault="004273B8" w:rsidP="004273B8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jc w:val="both"/>
        <w:textAlignment w:val="baseline"/>
        <w:rPr>
          <w:lang w:val="en-US"/>
        </w:rPr>
      </w:pPr>
      <w:r w:rsidRPr="003F3F73">
        <w:rPr>
          <w:lang w:val="en-US"/>
        </w:rPr>
        <w:t xml:space="preserve">Endo Y. Rapid and simple determination of histamine and </w:t>
      </w:r>
      <w:proofErr w:type="spellStart"/>
      <w:r w:rsidRPr="003F3F73">
        <w:rPr>
          <w:lang w:val="en-US"/>
        </w:rPr>
        <w:t>poliamines</w:t>
      </w:r>
      <w:proofErr w:type="spellEnd"/>
      <w:r w:rsidRPr="003F3F73">
        <w:rPr>
          <w:lang w:val="en-US"/>
        </w:rPr>
        <w:t xml:space="preserve"> / </w:t>
      </w:r>
      <w:proofErr w:type="spellStart"/>
      <w:r w:rsidRPr="003F3F73">
        <w:rPr>
          <w:lang w:val="en-US"/>
        </w:rPr>
        <w:t>Y.Endo</w:t>
      </w:r>
      <w:proofErr w:type="spellEnd"/>
      <w:r w:rsidRPr="003F3F73">
        <w:rPr>
          <w:lang w:val="en-US"/>
        </w:rPr>
        <w:t xml:space="preserve">, Y. </w:t>
      </w:r>
      <w:r w:rsidRPr="003F3F73">
        <w:t>А</w:t>
      </w:r>
      <w:r w:rsidRPr="003F3F73">
        <w:rPr>
          <w:lang w:val="en-US"/>
        </w:rPr>
        <w:t xml:space="preserve">. </w:t>
      </w:r>
      <w:proofErr w:type="gramStart"/>
      <w:r w:rsidRPr="003F3F73">
        <w:rPr>
          <w:lang w:val="en-US"/>
        </w:rPr>
        <w:t>Ogura  /</w:t>
      </w:r>
      <w:proofErr w:type="gramEnd"/>
      <w:r w:rsidRPr="003F3F73">
        <w:rPr>
          <w:lang w:val="en-US"/>
        </w:rPr>
        <w:t xml:space="preserve">/ Japan J. </w:t>
      </w:r>
      <w:proofErr w:type="spellStart"/>
      <w:r w:rsidRPr="003F3F73">
        <w:rPr>
          <w:lang w:val="en-US"/>
        </w:rPr>
        <w:t>Pharmacol</w:t>
      </w:r>
      <w:proofErr w:type="spellEnd"/>
      <w:r w:rsidRPr="003F3F73">
        <w:rPr>
          <w:lang w:val="en-US"/>
        </w:rPr>
        <w:t>. – 1975. – №25. – P.610-612.</w:t>
      </w:r>
    </w:p>
    <w:p w:rsidR="004273B8" w:rsidRPr="003F3F73" w:rsidRDefault="004273B8" w:rsidP="004273B8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jc w:val="both"/>
        <w:textAlignment w:val="baseline"/>
        <w:rPr>
          <w:lang w:val="en-US"/>
        </w:rPr>
      </w:pPr>
      <w:proofErr w:type="spellStart"/>
      <w:r w:rsidRPr="003F3F73">
        <w:rPr>
          <w:lang w:val="en-US"/>
        </w:rPr>
        <w:t>Slabo</w:t>
      </w:r>
      <w:proofErr w:type="spellEnd"/>
      <w:r w:rsidRPr="003F3F73">
        <w:rPr>
          <w:lang w:val="en-US"/>
        </w:rPr>
        <w:t xml:space="preserve"> G. Modified screening method for </w:t>
      </w:r>
      <w:proofErr w:type="spellStart"/>
      <w:r w:rsidRPr="003F3F73">
        <w:rPr>
          <w:lang w:val="en-US"/>
        </w:rPr>
        <w:t>repid</w:t>
      </w:r>
      <w:proofErr w:type="spellEnd"/>
      <w:r w:rsidRPr="003F3F73">
        <w:rPr>
          <w:lang w:val="en-US"/>
        </w:rPr>
        <w:t xml:space="preserve"> simultaneous determination of dopamine, noradrenalin and serotonin in the brain region / G. </w:t>
      </w:r>
      <w:proofErr w:type="spellStart"/>
      <w:r w:rsidRPr="003F3F73">
        <w:rPr>
          <w:lang w:val="en-US"/>
        </w:rPr>
        <w:t>Slabo</w:t>
      </w:r>
      <w:proofErr w:type="spellEnd"/>
      <w:r w:rsidRPr="003F3F73">
        <w:rPr>
          <w:lang w:val="en-US"/>
        </w:rPr>
        <w:t xml:space="preserve">, G.L. Kovacs, G.A. </w:t>
      </w:r>
      <w:proofErr w:type="spellStart"/>
      <w:r w:rsidRPr="003F3F73">
        <w:rPr>
          <w:lang w:val="en-US"/>
        </w:rPr>
        <w:t>Telegdy</w:t>
      </w:r>
      <w:proofErr w:type="spellEnd"/>
      <w:r w:rsidRPr="003F3F73">
        <w:rPr>
          <w:lang w:val="en-US"/>
        </w:rPr>
        <w:t xml:space="preserve">  // </w:t>
      </w:r>
      <w:proofErr w:type="spellStart"/>
      <w:r w:rsidRPr="003F3F73">
        <w:rPr>
          <w:lang w:val="en-US"/>
        </w:rPr>
        <w:t>Acta</w:t>
      </w:r>
      <w:proofErr w:type="spellEnd"/>
      <w:r w:rsidRPr="003F3F73">
        <w:rPr>
          <w:lang w:val="en-US"/>
        </w:rPr>
        <w:t xml:space="preserve"> Physiol. – 1983. – Vol. 61, №1-2. – P.51-57.</w:t>
      </w:r>
    </w:p>
    <w:p w:rsidR="004273B8" w:rsidRPr="003F3F73" w:rsidRDefault="004273B8" w:rsidP="004273B8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jc w:val="both"/>
        <w:textAlignment w:val="baseline"/>
        <w:rPr>
          <w:lang w:val="en-US"/>
        </w:rPr>
      </w:pPr>
      <w:proofErr w:type="spellStart"/>
      <w:r w:rsidRPr="003F3F73">
        <w:rPr>
          <w:lang w:val="en-US"/>
        </w:rPr>
        <w:t>Cormana</w:t>
      </w:r>
      <w:proofErr w:type="spellEnd"/>
      <w:r w:rsidRPr="003F3F73">
        <w:rPr>
          <w:lang w:val="en-US"/>
        </w:rPr>
        <w:t xml:space="preserve"> E. Purification of GABA on small columns of </w:t>
      </w:r>
      <w:proofErr w:type="spellStart"/>
      <w:r w:rsidRPr="003F3F73">
        <w:rPr>
          <w:lang w:val="en-US"/>
        </w:rPr>
        <w:t>Dowex</w:t>
      </w:r>
      <w:proofErr w:type="spellEnd"/>
      <w:r w:rsidRPr="003F3F73">
        <w:rPr>
          <w:lang w:val="en-US"/>
        </w:rPr>
        <w:t xml:space="preserve"> 50W: Combination with a Method for Separation of Biogenic Amines / E. </w:t>
      </w:r>
      <w:proofErr w:type="spellStart"/>
      <w:r w:rsidRPr="003F3F73">
        <w:rPr>
          <w:lang w:val="en-US"/>
        </w:rPr>
        <w:t>Cormana</w:t>
      </w:r>
      <w:proofErr w:type="spellEnd"/>
      <w:r w:rsidRPr="003F3F73">
        <w:rPr>
          <w:lang w:val="en-US"/>
        </w:rPr>
        <w:t xml:space="preserve">, C. </w:t>
      </w:r>
      <w:proofErr w:type="spellStart"/>
      <w:r w:rsidRPr="003F3F73">
        <w:rPr>
          <w:lang w:val="en-US"/>
        </w:rPr>
        <w:t>Vomes</w:t>
      </w:r>
      <w:proofErr w:type="spellEnd"/>
      <w:r w:rsidRPr="003F3F73">
        <w:rPr>
          <w:lang w:val="en-US"/>
        </w:rPr>
        <w:t xml:space="preserve">, </w:t>
      </w:r>
      <w:proofErr w:type="spellStart"/>
      <w:r w:rsidRPr="003F3F73">
        <w:rPr>
          <w:lang w:val="en-US"/>
        </w:rPr>
        <w:t>V.Trolin</w:t>
      </w:r>
      <w:proofErr w:type="spellEnd"/>
      <w:r w:rsidRPr="003F3F73">
        <w:rPr>
          <w:lang w:val="en-US"/>
        </w:rPr>
        <w:t xml:space="preserve">  // </w:t>
      </w:r>
      <w:proofErr w:type="spellStart"/>
      <w:r w:rsidRPr="003F3F73">
        <w:rPr>
          <w:lang w:val="en-US"/>
        </w:rPr>
        <w:t>Acta</w:t>
      </w:r>
      <w:proofErr w:type="spellEnd"/>
      <w:r w:rsidRPr="003F3F73">
        <w:rPr>
          <w:lang w:val="en-US"/>
        </w:rPr>
        <w:t xml:space="preserve"> Pharm. et toxic. – 1980. - №46. – P.235-240.</w:t>
      </w:r>
    </w:p>
    <w:p w:rsidR="004273B8" w:rsidRPr="003F3F73" w:rsidRDefault="004273B8" w:rsidP="004273B8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jc w:val="both"/>
        <w:textAlignment w:val="baseline"/>
        <w:rPr>
          <w:lang w:val="en-US"/>
        </w:rPr>
      </w:pPr>
      <w:proofErr w:type="spellStart"/>
      <w:r w:rsidRPr="003F3F73">
        <w:rPr>
          <w:lang w:val="en-US"/>
        </w:rPr>
        <w:t>Bernt</w:t>
      </w:r>
      <w:proofErr w:type="spellEnd"/>
      <w:r w:rsidRPr="003F3F73">
        <w:rPr>
          <w:lang w:val="en-US"/>
        </w:rPr>
        <w:t xml:space="preserve"> E., </w:t>
      </w:r>
      <w:proofErr w:type="spellStart"/>
      <w:r w:rsidRPr="003F3F73">
        <w:rPr>
          <w:lang w:val="en-US"/>
        </w:rPr>
        <w:t>Bergmeyer</w:t>
      </w:r>
      <w:proofErr w:type="spellEnd"/>
      <w:r w:rsidRPr="003F3F73">
        <w:rPr>
          <w:lang w:val="en-US"/>
        </w:rPr>
        <w:t xml:space="preserve"> H.U. </w:t>
      </w:r>
      <w:proofErr w:type="spellStart"/>
      <w:r w:rsidRPr="003F3F73">
        <w:rPr>
          <w:lang w:val="en-US"/>
        </w:rPr>
        <w:t>Methoden</w:t>
      </w:r>
      <w:proofErr w:type="spellEnd"/>
      <w:r w:rsidRPr="003F3F73">
        <w:rPr>
          <w:lang w:val="en-US"/>
        </w:rPr>
        <w:t xml:space="preserve"> der </w:t>
      </w:r>
      <w:proofErr w:type="spellStart"/>
      <w:r w:rsidRPr="003F3F73">
        <w:rPr>
          <w:lang w:val="en-US"/>
        </w:rPr>
        <w:t>ensymatischen</w:t>
      </w:r>
      <w:proofErr w:type="spellEnd"/>
      <w:r w:rsidRPr="003F3F73">
        <w:rPr>
          <w:lang w:val="en-US"/>
        </w:rPr>
        <w:t xml:space="preserve"> analyze / </w:t>
      </w:r>
      <w:smartTag w:uri="urn:schemas-microsoft-com:office:smarttags" w:element="place">
        <w:r w:rsidRPr="003F3F73">
          <w:rPr>
            <w:lang w:val="en-US"/>
          </w:rPr>
          <w:t xml:space="preserve">E. </w:t>
        </w:r>
        <w:proofErr w:type="spellStart"/>
        <w:r w:rsidRPr="003F3F73">
          <w:rPr>
            <w:lang w:val="en-US"/>
          </w:rPr>
          <w:t>Bernt</w:t>
        </w:r>
      </w:smartTag>
      <w:proofErr w:type="spellEnd"/>
      <w:r w:rsidRPr="003F3F73">
        <w:rPr>
          <w:lang w:val="en-US"/>
        </w:rPr>
        <w:t xml:space="preserve">, H.U. </w:t>
      </w:r>
      <w:proofErr w:type="spellStart"/>
      <w:r w:rsidRPr="003F3F73">
        <w:rPr>
          <w:lang w:val="en-US"/>
        </w:rPr>
        <w:t>Bergmeyer</w:t>
      </w:r>
      <w:proofErr w:type="spellEnd"/>
      <w:r w:rsidRPr="003F3F73">
        <w:rPr>
          <w:lang w:val="en-US"/>
        </w:rPr>
        <w:t xml:space="preserve">. – </w:t>
      </w:r>
      <w:smartTag w:uri="urn:schemas-microsoft-com:office:smarttags" w:element="place">
        <w:smartTag w:uri="urn:schemas-microsoft-com:office:smarttags" w:element="State">
          <w:r w:rsidRPr="003F3F73">
            <w:rPr>
              <w:lang w:val="en-US"/>
            </w:rPr>
            <w:t>Berlin</w:t>
          </w:r>
        </w:smartTag>
      </w:smartTag>
      <w:r w:rsidRPr="003F3F73">
        <w:rPr>
          <w:lang w:val="en-US"/>
        </w:rPr>
        <w:t>, 1970. –Bd.3 – S.1659-1665.</w:t>
      </w:r>
    </w:p>
    <w:p w:rsidR="004273B8" w:rsidRPr="003F3F73" w:rsidRDefault="004273B8" w:rsidP="004273B8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line="360" w:lineRule="auto"/>
        <w:jc w:val="both"/>
        <w:textAlignment w:val="baseline"/>
      </w:pPr>
      <w:proofErr w:type="spellStart"/>
      <w:r w:rsidRPr="003F3F73">
        <w:t>Цыганенко</w:t>
      </w:r>
      <w:proofErr w:type="spellEnd"/>
      <w:r w:rsidRPr="003F3F73">
        <w:t xml:space="preserve"> А.Я. </w:t>
      </w:r>
      <w:proofErr w:type="spellStart"/>
      <w:r w:rsidRPr="003F3F73">
        <w:t>Структурно-метаболические</w:t>
      </w:r>
      <w:proofErr w:type="spellEnd"/>
      <w:r w:rsidRPr="003F3F73">
        <w:t xml:space="preserve"> </w:t>
      </w:r>
      <w:proofErr w:type="spellStart"/>
      <w:r w:rsidRPr="003F3F73">
        <w:t>механизмы</w:t>
      </w:r>
      <w:proofErr w:type="spellEnd"/>
      <w:r w:rsidRPr="003F3F73">
        <w:t xml:space="preserve"> </w:t>
      </w:r>
      <w:proofErr w:type="spellStart"/>
      <w:r w:rsidRPr="003F3F73">
        <w:t>формирования</w:t>
      </w:r>
      <w:proofErr w:type="spellEnd"/>
      <w:r w:rsidRPr="003F3F73">
        <w:t xml:space="preserve"> </w:t>
      </w:r>
      <w:proofErr w:type="spellStart"/>
      <w:r w:rsidRPr="003F3F73">
        <w:lastRenderedPageBreak/>
        <w:t>атеросклероза</w:t>
      </w:r>
      <w:proofErr w:type="spellEnd"/>
      <w:r w:rsidRPr="003F3F73">
        <w:t xml:space="preserve"> / А.Я. </w:t>
      </w:r>
      <w:proofErr w:type="spellStart"/>
      <w:r w:rsidRPr="003F3F73">
        <w:t>Цыганенко</w:t>
      </w:r>
      <w:proofErr w:type="spellEnd"/>
      <w:r w:rsidRPr="003F3F73">
        <w:t xml:space="preserve">, В.И. Жуков, К.М. </w:t>
      </w:r>
      <w:proofErr w:type="spellStart"/>
      <w:r w:rsidRPr="003F3F73">
        <w:t>Сокол</w:t>
      </w:r>
      <w:proofErr w:type="spellEnd"/>
      <w:r w:rsidRPr="003F3F73">
        <w:t xml:space="preserve"> [и др.].  – </w:t>
      </w:r>
      <w:proofErr w:type="spellStart"/>
      <w:r w:rsidRPr="003F3F73">
        <w:t>Белгород</w:t>
      </w:r>
      <w:proofErr w:type="spellEnd"/>
      <w:r w:rsidRPr="003F3F73">
        <w:t xml:space="preserve">: </w:t>
      </w:r>
      <w:proofErr w:type="spellStart"/>
      <w:r w:rsidRPr="003F3F73">
        <w:t>Белвитамин</w:t>
      </w:r>
      <w:proofErr w:type="spellEnd"/>
      <w:r w:rsidRPr="003F3F73">
        <w:t xml:space="preserve">, 2001. – 523 с. </w:t>
      </w:r>
    </w:p>
    <w:p w:rsidR="004273B8" w:rsidRDefault="004273B8" w:rsidP="004273B8">
      <w:pPr>
        <w:numPr>
          <w:ilvl w:val="0"/>
          <w:numId w:val="3"/>
        </w:numPr>
        <w:spacing w:line="360" w:lineRule="auto"/>
        <w:jc w:val="both"/>
      </w:pPr>
      <w:proofErr w:type="spellStart"/>
      <w:r>
        <w:t>Евдокимов</w:t>
      </w:r>
      <w:proofErr w:type="spellEnd"/>
      <w:r>
        <w:t xml:space="preserve"> В.И.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оксиэтилированного</w:t>
      </w:r>
      <w:proofErr w:type="spellEnd"/>
      <w:r>
        <w:t xml:space="preserve"> крилата на </w:t>
      </w:r>
      <w:proofErr w:type="spellStart"/>
      <w:r>
        <w:t>нейромедиаторный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подопытных</w:t>
      </w:r>
      <w:proofErr w:type="spellEnd"/>
      <w:r>
        <w:t xml:space="preserve"> </w:t>
      </w:r>
      <w:proofErr w:type="spellStart"/>
      <w:r>
        <w:t>животных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подострого</w:t>
      </w:r>
      <w:proofErr w:type="spellEnd"/>
      <w:r>
        <w:t xml:space="preserve"> </w:t>
      </w:r>
      <w:proofErr w:type="spellStart"/>
      <w:r>
        <w:t>токсикологического</w:t>
      </w:r>
      <w:proofErr w:type="spellEnd"/>
      <w:r>
        <w:t xml:space="preserve"> </w:t>
      </w:r>
      <w:proofErr w:type="spellStart"/>
      <w:r>
        <w:t>эксперимента</w:t>
      </w:r>
      <w:proofErr w:type="spellEnd"/>
      <w:r>
        <w:t xml:space="preserve"> / В.И. </w:t>
      </w:r>
      <w:proofErr w:type="spellStart"/>
      <w:r>
        <w:t>Евдокимов</w:t>
      </w:r>
      <w:proofErr w:type="spellEnd"/>
      <w:r>
        <w:t xml:space="preserve">, В.А. </w:t>
      </w:r>
      <w:proofErr w:type="spellStart"/>
      <w:r>
        <w:t>Телегин</w:t>
      </w:r>
      <w:proofErr w:type="spellEnd"/>
      <w:r>
        <w:t xml:space="preserve"> // </w:t>
      </w:r>
      <w:proofErr w:type="spellStart"/>
      <w:r>
        <w:t>Научные</w:t>
      </w:r>
      <w:proofErr w:type="spellEnd"/>
      <w:r>
        <w:t xml:space="preserve"> </w:t>
      </w:r>
      <w:proofErr w:type="spellStart"/>
      <w:r>
        <w:t>ведомости</w:t>
      </w:r>
      <w:proofErr w:type="spellEnd"/>
      <w:r>
        <w:t>. – 2011. - № 4 (99), Вип. 13. – С. 132-135.</w:t>
      </w:r>
    </w:p>
    <w:p w:rsidR="00753BE6" w:rsidRDefault="00C05384">
      <w:bookmarkStart w:id="0" w:name="_GoBack"/>
      <w:bookmarkEnd w:id="0"/>
    </w:p>
    <w:sectPr w:rsidR="007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95AA8"/>
    <w:multiLevelType w:val="hybridMultilevel"/>
    <w:tmpl w:val="793C5694"/>
    <w:lvl w:ilvl="0" w:tplc="334C7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54761"/>
    <w:multiLevelType w:val="hybridMultilevel"/>
    <w:tmpl w:val="F60E4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D8"/>
    <w:rsid w:val="004273B8"/>
    <w:rsid w:val="007366AE"/>
    <w:rsid w:val="00782691"/>
    <w:rsid w:val="00B463D8"/>
    <w:rsid w:val="00C0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Патфизиология</dc:creator>
  <cp:keywords/>
  <dc:description/>
  <cp:lastModifiedBy>Патфизиология</cp:lastModifiedBy>
  <cp:revision>2</cp:revision>
  <dcterms:created xsi:type="dcterms:W3CDTF">2015-10-29T10:18:00Z</dcterms:created>
  <dcterms:modified xsi:type="dcterms:W3CDTF">2015-10-29T10:31:00Z</dcterms:modified>
</cp:coreProperties>
</file>